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CE" w:rsidRPr="008A15FF" w:rsidRDefault="00DE33CE" w:rsidP="00656285">
      <w:pPr>
        <w:widowControl w:val="0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8A15F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Об изменении потребительских цен в </w:t>
      </w:r>
      <w:r w:rsidR="00D861F2">
        <w:rPr>
          <w:rFonts w:ascii="Arial" w:hAnsi="Arial" w:cs="Arial"/>
          <w:b/>
          <w:color w:val="365F91" w:themeColor="accent1" w:themeShade="BF"/>
          <w:sz w:val="32"/>
          <w:szCs w:val="32"/>
        </w:rPr>
        <w:t>декабр</w:t>
      </w:r>
      <w:r w:rsidR="002C7620" w:rsidRPr="008A15FF">
        <w:rPr>
          <w:rFonts w:ascii="Arial" w:hAnsi="Arial" w:cs="Arial"/>
          <w:b/>
          <w:color w:val="365F91" w:themeColor="accent1" w:themeShade="BF"/>
          <w:sz w:val="32"/>
          <w:szCs w:val="32"/>
        </w:rPr>
        <w:t>е</w:t>
      </w:r>
      <w:r w:rsidR="00CA5E9A" w:rsidRPr="008A15F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20</w:t>
      </w:r>
      <w:r w:rsidR="00D3195F">
        <w:rPr>
          <w:rFonts w:ascii="Arial" w:hAnsi="Arial" w:cs="Arial"/>
          <w:b/>
          <w:color w:val="365F91" w:themeColor="accent1" w:themeShade="BF"/>
          <w:sz w:val="32"/>
          <w:szCs w:val="32"/>
        </w:rPr>
        <w:t>20</w:t>
      </w:r>
      <w:r w:rsidRPr="008A15FF">
        <w:rPr>
          <w:rFonts w:ascii="Arial" w:hAnsi="Arial" w:cs="Arial"/>
          <w:b/>
          <w:color w:val="365F91" w:themeColor="accent1" w:themeShade="BF"/>
          <w:sz w:val="32"/>
          <w:szCs w:val="32"/>
        </w:rPr>
        <w:t xml:space="preserve"> года</w:t>
      </w:r>
    </w:p>
    <w:p w:rsidR="00CA2C4C" w:rsidRDefault="00CA2C4C" w:rsidP="005B7BA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</w:t>
      </w:r>
      <w:r w:rsidR="002C76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3E55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D31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года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210FF1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Красноярском крае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на потребительском рынке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655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увеличились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- за месяц (</w:t>
      </w:r>
      <w:r w:rsidR="00DE33CE" w:rsidRPr="00B37D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8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ноябр</w:t>
      </w:r>
      <w:r w:rsidR="00D31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="00107C8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D31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63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="00763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0,</w:t>
      </w:r>
      <w:r w:rsidR="00D8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7635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107C87" w:rsidRDefault="00107C87" w:rsidP="005B7BA0">
      <w:pPr>
        <w:widowControl w:val="0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r w:rsidR="00AC6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го</w:t>
      </w:r>
      <w:proofErr w:type="gramStart"/>
      <w:r w:rsidR="00AC6A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="00FE0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 w:rsidR="00FE0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декабрю 201</w:t>
      </w:r>
      <w:r w:rsidR="00D319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FE04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года)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–на </w:t>
      </w:r>
      <w:r w:rsidR="00D861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4,7процента.</w:t>
      </w:r>
    </w:p>
    <w:p w:rsidR="00627AE4" w:rsidRPr="00B37DEA" w:rsidRDefault="00627AE4" w:rsidP="00864493">
      <w:pPr>
        <w:widowControl w:val="0"/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E33CE" w:rsidRPr="00BA4E6D" w:rsidRDefault="00DE33CE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BA4E6D">
        <w:rPr>
          <w:rFonts w:ascii="Arial" w:hAnsi="Arial" w:cs="Arial"/>
          <w:b/>
          <w:color w:val="365F91" w:themeColor="accent1" w:themeShade="BF"/>
          <w:sz w:val="26"/>
          <w:szCs w:val="26"/>
        </w:rPr>
        <w:t>Индексы потребительских цен на товары и услуги</w:t>
      </w:r>
    </w:p>
    <w:p w:rsidR="00627AE4" w:rsidRPr="00627AE4" w:rsidRDefault="00627AE4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eastAsia="Times New Roman" w:hAnsi="Arial" w:cs="Arial"/>
          <w:b/>
          <w:bCs/>
          <w:color w:val="215968"/>
          <w:sz w:val="20"/>
          <w:szCs w:val="20"/>
          <w:lang w:eastAsia="ru-RU"/>
        </w:rPr>
      </w:pPr>
    </w:p>
    <w:tbl>
      <w:tblPr>
        <w:tblStyle w:val="a9"/>
        <w:tblW w:w="4893" w:type="pct"/>
        <w:jc w:val="center"/>
        <w:tblLook w:val="04A0"/>
      </w:tblPr>
      <w:tblGrid>
        <w:gridCol w:w="4310"/>
        <w:gridCol w:w="3197"/>
        <w:gridCol w:w="2954"/>
        <w:gridCol w:w="15"/>
      </w:tblGrid>
      <w:tr w:rsidR="00FF08F1" w:rsidRPr="00993C93" w:rsidTr="00D861F2">
        <w:trPr>
          <w:gridAfter w:val="1"/>
          <w:wAfter w:w="7" w:type="pct"/>
          <w:trHeight w:val="20"/>
          <w:jc w:val="center"/>
        </w:trPr>
        <w:tc>
          <w:tcPr>
            <w:tcW w:w="2057" w:type="pct"/>
            <w:vMerge w:val="restart"/>
            <w:shd w:val="clear" w:color="auto" w:fill="93CDDD"/>
            <w:vAlign w:val="center"/>
          </w:tcPr>
          <w:p w:rsidR="00FF08F1" w:rsidRPr="006D366C" w:rsidRDefault="00FF08F1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2936" w:type="pct"/>
            <w:gridSpan w:val="2"/>
            <w:shd w:val="clear" w:color="auto" w:fill="93CDDD"/>
            <w:vAlign w:val="center"/>
          </w:tcPr>
          <w:p w:rsidR="00FF08F1" w:rsidRPr="006D366C" w:rsidRDefault="00D861F2" w:rsidP="00D3195F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Декабрь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</w:t>
            </w:r>
            <w:r w:rsidR="00D3195F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года, </w:t>
            </w:r>
            <w:proofErr w:type="gramStart"/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proofErr w:type="gramEnd"/>
            <w:r w:rsidR="00FF08F1"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% к</w:t>
            </w:r>
          </w:p>
        </w:tc>
      </w:tr>
      <w:tr w:rsidR="00D861F2" w:rsidRPr="00993C93" w:rsidTr="00D861F2">
        <w:trPr>
          <w:trHeight w:val="20"/>
          <w:jc w:val="center"/>
        </w:trPr>
        <w:tc>
          <w:tcPr>
            <w:tcW w:w="2057" w:type="pct"/>
            <w:vMerge/>
            <w:shd w:val="clear" w:color="auto" w:fill="93CDDD"/>
            <w:vAlign w:val="center"/>
          </w:tcPr>
          <w:p w:rsidR="00D861F2" w:rsidRPr="00993C93" w:rsidRDefault="00D861F2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526" w:type="pct"/>
            <w:shd w:val="clear" w:color="auto" w:fill="93CDDD"/>
            <w:vAlign w:val="center"/>
          </w:tcPr>
          <w:p w:rsidR="00D861F2" w:rsidRDefault="00D861F2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ноябрю</w:t>
            </w:r>
          </w:p>
          <w:p w:rsidR="00D861F2" w:rsidRPr="006D366C" w:rsidRDefault="00D861F2" w:rsidP="00D3195F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  <w:r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1417" w:type="pct"/>
            <w:gridSpan w:val="2"/>
            <w:shd w:val="clear" w:color="auto" w:fill="93CDDD"/>
            <w:vAlign w:val="center"/>
          </w:tcPr>
          <w:p w:rsidR="00D861F2" w:rsidRDefault="00D861F2" w:rsidP="00864493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декабрю</w:t>
            </w:r>
          </w:p>
          <w:p w:rsidR="00D861F2" w:rsidRDefault="00D861F2" w:rsidP="00D3195F">
            <w:pPr>
              <w:widowControl w:val="0"/>
              <w:spacing w:line="280" w:lineRule="exact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66C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6D36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года</w:t>
            </w:r>
          </w:p>
        </w:tc>
      </w:tr>
      <w:tr w:rsidR="00D861F2" w:rsidRPr="00993C93" w:rsidTr="00D861F2">
        <w:trPr>
          <w:trHeight w:val="20"/>
          <w:jc w:val="center"/>
        </w:trPr>
        <w:tc>
          <w:tcPr>
            <w:tcW w:w="2057" w:type="pct"/>
            <w:vAlign w:val="bottom"/>
          </w:tcPr>
          <w:p w:rsidR="00D861F2" w:rsidRPr="00CA2C4C" w:rsidRDefault="00D861F2" w:rsidP="00864493">
            <w:pPr>
              <w:widowControl w:val="0"/>
              <w:spacing w:line="280" w:lineRule="exact"/>
              <w:rPr>
                <w:rFonts w:ascii="Arial" w:hAnsi="Arial"/>
                <w:b/>
                <w:sz w:val="24"/>
              </w:rPr>
            </w:pPr>
            <w:r w:rsidRPr="00CA2C4C">
              <w:rPr>
                <w:rFonts w:ascii="Arial" w:hAnsi="Arial"/>
                <w:b/>
                <w:sz w:val="24"/>
              </w:rPr>
              <w:t>Все товары и услуги</w:t>
            </w:r>
          </w:p>
        </w:tc>
        <w:tc>
          <w:tcPr>
            <w:tcW w:w="1526" w:type="pct"/>
            <w:vAlign w:val="bottom"/>
          </w:tcPr>
          <w:p w:rsidR="00D861F2" w:rsidRPr="00D861F2" w:rsidRDefault="00D861F2" w:rsidP="00D861F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100,</w:t>
            </w:r>
            <w:r w:rsidRPr="00D861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pct"/>
            <w:gridSpan w:val="2"/>
            <w:vAlign w:val="bottom"/>
          </w:tcPr>
          <w:p w:rsidR="00D861F2" w:rsidRPr="00D861F2" w:rsidRDefault="00D861F2" w:rsidP="00D861F2">
            <w:pPr>
              <w:spacing w:line="280" w:lineRule="exact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104,</w:t>
            </w:r>
            <w:r w:rsidRPr="00D861F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D861F2" w:rsidRPr="00993C93" w:rsidTr="00D861F2">
        <w:trPr>
          <w:trHeight w:val="20"/>
          <w:jc w:val="center"/>
        </w:trPr>
        <w:tc>
          <w:tcPr>
            <w:tcW w:w="2057" w:type="pct"/>
            <w:vAlign w:val="bottom"/>
          </w:tcPr>
          <w:p w:rsidR="00D861F2" w:rsidRPr="007D0435" w:rsidRDefault="00D861F2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Продовольственные товары</w:t>
            </w:r>
          </w:p>
        </w:tc>
        <w:tc>
          <w:tcPr>
            <w:tcW w:w="1526" w:type="pct"/>
            <w:vAlign w:val="bottom"/>
          </w:tcPr>
          <w:p w:rsidR="00D861F2" w:rsidRPr="00D861F2" w:rsidRDefault="00D861F2" w:rsidP="00D861F2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</w:t>
            </w:r>
            <w:r w:rsidRPr="00D86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pct"/>
            <w:gridSpan w:val="2"/>
            <w:vAlign w:val="bottom"/>
          </w:tcPr>
          <w:p w:rsidR="00D861F2" w:rsidRPr="00D861F2" w:rsidRDefault="00D861F2" w:rsidP="00D861F2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106,</w:t>
            </w:r>
            <w:r w:rsidRPr="00D86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861F2" w:rsidRPr="00993C93" w:rsidTr="00D861F2">
        <w:trPr>
          <w:trHeight w:val="20"/>
          <w:jc w:val="center"/>
        </w:trPr>
        <w:tc>
          <w:tcPr>
            <w:tcW w:w="2057" w:type="pct"/>
            <w:vAlign w:val="bottom"/>
          </w:tcPr>
          <w:p w:rsidR="00D861F2" w:rsidRPr="007D0435" w:rsidRDefault="00D861F2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Непродовольственные товары</w:t>
            </w:r>
          </w:p>
        </w:tc>
        <w:tc>
          <w:tcPr>
            <w:tcW w:w="1526" w:type="pct"/>
            <w:vAlign w:val="bottom"/>
          </w:tcPr>
          <w:p w:rsidR="00D861F2" w:rsidRPr="00D861F2" w:rsidRDefault="00D861F2" w:rsidP="00D861F2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</w:t>
            </w:r>
            <w:r w:rsidRPr="00D86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pct"/>
            <w:gridSpan w:val="2"/>
            <w:vAlign w:val="bottom"/>
          </w:tcPr>
          <w:p w:rsidR="00D861F2" w:rsidRPr="00D861F2" w:rsidRDefault="00D861F2" w:rsidP="00D861F2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105,</w:t>
            </w:r>
            <w:r w:rsidRPr="00D86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D861F2" w:rsidRPr="00993C93" w:rsidTr="00D861F2">
        <w:trPr>
          <w:trHeight w:val="20"/>
          <w:jc w:val="center"/>
        </w:trPr>
        <w:tc>
          <w:tcPr>
            <w:tcW w:w="2057" w:type="pct"/>
            <w:vAlign w:val="bottom"/>
          </w:tcPr>
          <w:p w:rsidR="00D861F2" w:rsidRPr="007D0435" w:rsidRDefault="00D861F2" w:rsidP="00864493">
            <w:pPr>
              <w:widowControl w:val="0"/>
              <w:spacing w:line="280" w:lineRule="exact"/>
              <w:ind w:left="113"/>
              <w:rPr>
                <w:rFonts w:ascii="Arial" w:hAnsi="Arial"/>
                <w:sz w:val="24"/>
              </w:rPr>
            </w:pPr>
            <w:r w:rsidRPr="007D0435">
              <w:rPr>
                <w:rFonts w:ascii="Arial" w:hAnsi="Arial"/>
                <w:sz w:val="24"/>
              </w:rPr>
              <w:t>Услуги</w:t>
            </w:r>
          </w:p>
        </w:tc>
        <w:tc>
          <w:tcPr>
            <w:tcW w:w="1526" w:type="pct"/>
            <w:vAlign w:val="bottom"/>
          </w:tcPr>
          <w:p w:rsidR="00D861F2" w:rsidRPr="00D861F2" w:rsidRDefault="00D861F2" w:rsidP="00D861F2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100,</w:t>
            </w:r>
            <w:r w:rsidRPr="00D86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pct"/>
            <w:gridSpan w:val="2"/>
            <w:vAlign w:val="bottom"/>
          </w:tcPr>
          <w:p w:rsidR="00D861F2" w:rsidRPr="00D861F2" w:rsidRDefault="00D861F2" w:rsidP="00D861F2">
            <w:pPr>
              <w:spacing w:line="280" w:lineRule="exact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101,</w:t>
            </w:r>
            <w:r w:rsidRPr="00D861F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</w:t>
            </w:r>
          </w:p>
        </w:tc>
      </w:tr>
    </w:tbl>
    <w:p w:rsidR="006D366C" w:rsidRPr="00424660" w:rsidRDefault="006D366C" w:rsidP="00864493">
      <w:pPr>
        <w:widowControl w:val="0"/>
        <w:spacing w:after="0" w:line="280" w:lineRule="exact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45A2C" w:rsidRDefault="00445A2C" w:rsidP="00445A2C">
      <w:pPr>
        <w:widowControl w:val="0"/>
        <w:shd w:val="clear" w:color="auto" w:fill="FFFFFF"/>
        <w:spacing w:after="0" w:line="26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В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декабр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е 20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20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 (по отношению к 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ноябрю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20</w:t>
      </w:r>
      <w:r>
        <w:rPr>
          <w:rFonts w:ascii="Arial" w:hAnsi="Arial" w:cs="Arial"/>
          <w:b/>
          <w:color w:val="365F91" w:themeColor="accent1" w:themeShade="BF"/>
          <w:sz w:val="24"/>
          <w:szCs w:val="24"/>
        </w:rPr>
        <w:t>20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года) среди</w:t>
      </w:r>
      <w:r w:rsidR="007E309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продовольственных товаров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значительный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рост цен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лся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гурцы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омидоры свежие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44,5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 20,1 процента соответственно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йца куриные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10,8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апуст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белокочанн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свеж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7,8, м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орковь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7,4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5A2C" w:rsidRDefault="00445A2C" w:rsidP="00445A2C">
      <w:pPr>
        <w:widowControl w:val="0"/>
        <w:shd w:val="clear" w:color="auto" w:fill="FFFFFF"/>
        <w:spacing w:after="0" w:line="264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аибольшее снижение цен наблюдалось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ахар-песок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7,5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вощи натуральные консервированные, маринованные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4,4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 игристое отечественное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2,3, г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орох и фасоль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2,1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процента.</w:t>
      </w:r>
    </w:p>
    <w:p w:rsidR="00445A2C" w:rsidRDefault="00445A2C" w:rsidP="00445A2C">
      <w:pPr>
        <w:widowControl w:val="0"/>
        <w:shd w:val="clear" w:color="auto" w:fill="FFFFFF"/>
        <w:spacing w:after="0" w:line="264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В группе непродовольственных товаров</w:t>
      </w:r>
      <w:r w:rsidR="007E309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рассматриваемый период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более всего подорожали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еталлочерепица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4,7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процента,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иван-кровать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</w:t>
      </w:r>
      <w:proofErr w:type="gramStart"/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4,6,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ш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каф-вешалка для прихожей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4,5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r w:rsidRPr="008346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на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4,3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5A2C" w:rsidRDefault="00445A2C" w:rsidP="00445A2C">
      <w:pPr>
        <w:widowControl w:val="0"/>
        <w:shd w:val="clear" w:color="auto" w:fill="FFFFFF"/>
        <w:spacing w:after="0" w:line="264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Наибольшее снижение цен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отмечал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сь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FD28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Настойк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Pr="00FD28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пустырника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4,4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процент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FD28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ухие корма для домашних животных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2,2 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45A2C" w:rsidRDefault="00445A2C" w:rsidP="00445A2C">
      <w:pPr>
        <w:widowControl w:val="0"/>
        <w:shd w:val="clear" w:color="auto" w:fill="FFFFFF"/>
        <w:spacing w:after="0" w:line="264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hAnsi="Arial" w:cs="Arial"/>
          <w:b/>
          <w:color w:val="365F91" w:themeColor="accent1" w:themeShade="BF"/>
          <w:sz w:val="24"/>
          <w:szCs w:val="24"/>
        </w:rPr>
        <w:t>Из платных услуг</w:t>
      </w:r>
      <w:r w:rsidR="007E309E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всего увеличилась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966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роезд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966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купейном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</w:t>
      </w:r>
      <w:r w:rsidRPr="00966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плацкартном вагон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r w:rsidRPr="00966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скорого </w:t>
      </w:r>
      <w:r w:rsidRPr="003A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фирменного поезд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6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дальнего следовани</w:t>
      </w:r>
      <w:proofErr w:type="gramStart"/>
      <w:r w:rsidRPr="00966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19,4процента и на 17,6 процента соответственно), </w:t>
      </w:r>
      <w:r w:rsidRPr="00966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6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плацкартном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купейном </w:t>
      </w:r>
      <w:r w:rsidRPr="00966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вагон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</w:t>
      </w:r>
      <w:r w:rsidRPr="00966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скорого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3A056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фирменного поезд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66C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дальнего следования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(на 17,1процента и на 14,1 процента соответственно). </w:t>
      </w:r>
    </w:p>
    <w:p w:rsidR="00445A2C" w:rsidRPr="00BA4E6D" w:rsidRDefault="00445A2C" w:rsidP="00445A2C">
      <w:pPr>
        <w:widowControl w:val="0"/>
        <w:shd w:val="clear" w:color="auto" w:fill="FFFFFF"/>
        <w:spacing w:after="0" w:line="264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Наибольшее снижение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стоимост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отмечено на п</w:t>
      </w:r>
      <w:r w:rsidRPr="00FD28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олет в салоне экономического класса самолета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(на 1,2 процента).</w:t>
      </w:r>
    </w:p>
    <w:p w:rsidR="00445A2C" w:rsidRDefault="00445A2C" w:rsidP="005B7BA0">
      <w:pPr>
        <w:pStyle w:val="a3"/>
        <w:widowControl w:val="0"/>
        <w:rPr>
          <w:rFonts w:ascii="Arial" w:hAnsi="Arial" w:cs="Arial"/>
          <w:color w:val="000000"/>
          <w:sz w:val="24"/>
          <w:szCs w:val="24"/>
        </w:rPr>
      </w:pPr>
    </w:p>
    <w:p w:rsidR="007B0E55" w:rsidRPr="007B0E55" w:rsidRDefault="007B0E55" w:rsidP="005B7BA0">
      <w:pPr>
        <w:pStyle w:val="a3"/>
        <w:widowControl w:val="0"/>
        <w:rPr>
          <w:rFonts w:ascii="Arial" w:hAnsi="Arial" w:cs="Arial"/>
          <w:color w:val="000000"/>
          <w:sz w:val="24"/>
          <w:szCs w:val="24"/>
        </w:rPr>
      </w:pPr>
      <w:r w:rsidRPr="007B0E55">
        <w:rPr>
          <w:rFonts w:ascii="Arial" w:hAnsi="Arial" w:cs="Arial"/>
          <w:color w:val="000000"/>
          <w:sz w:val="24"/>
          <w:szCs w:val="24"/>
        </w:rPr>
        <w:t xml:space="preserve">Сводный индекс потребительских цен в Красноярском крае </w:t>
      </w:r>
      <w:r w:rsidRPr="00490C72">
        <w:rPr>
          <w:rFonts w:ascii="Arial" w:eastAsiaTheme="minorHAnsi" w:hAnsi="Arial" w:cs="Arial"/>
          <w:b/>
          <w:color w:val="365F91" w:themeColor="accent1" w:themeShade="BF"/>
          <w:sz w:val="24"/>
          <w:szCs w:val="24"/>
          <w:lang w:eastAsia="en-US"/>
        </w:rPr>
        <w:t xml:space="preserve">в </w:t>
      </w:r>
      <w:r w:rsidR="00D861F2" w:rsidRPr="00490C72">
        <w:rPr>
          <w:rFonts w:ascii="Arial" w:eastAsiaTheme="minorHAnsi" w:hAnsi="Arial" w:cs="Arial"/>
          <w:b/>
          <w:color w:val="365F91" w:themeColor="accent1" w:themeShade="BF"/>
          <w:sz w:val="24"/>
          <w:szCs w:val="24"/>
          <w:lang w:eastAsia="en-US"/>
        </w:rPr>
        <w:t>декабр</w:t>
      </w:r>
      <w:r w:rsidR="000D6153" w:rsidRPr="00490C72">
        <w:rPr>
          <w:rFonts w:ascii="Arial" w:eastAsiaTheme="minorHAnsi" w:hAnsi="Arial" w:cs="Arial"/>
          <w:b/>
          <w:color w:val="365F91" w:themeColor="accent1" w:themeShade="BF"/>
          <w:sz w:val="24"/>
          <w:szCs w:val="24"/>
          <w:lang w:eastAsia="en-US"/>
        </w:rPr>
        <w:t>е</w:t>
      </w:r>
      <w:r w:rsidRPr="00490C72">
        <w:rPr>
          <w:rFonts w:ascii="Arial" w:eastAsiaTheme="minorHAnsi" w:hAnsi="Arial" w:cs="Arial"/>
          <w:b/>
          <w:color w:val="365F91" w:themeColor="accent1" w:themeShade="BF"/>
          <w:sz w:val="24"/>
          <w:szCs w:val="24"/>
          <w:lang w:eastAsia="en-US"/>
        </w:rPr>
        <w:t xml:space="preserve"> 20</w:t>
      </w:r>
      <w:r w:rsidR="0012708E" w:rsidRPr="00490C72">
        <w:rPr>
          <w:rFonts w:ascii="Arial" w:eastAsiaTheme="minorHAnsi" w:hAnsi="Arial" w:cs="Arial"/>
          <w:b/>
          <w:color w:val="365F91" w:themeColor="accent1" w:themeShade="BF"/>
          <w:sz w:val="24"/>
          <w:szCs w:val="24"/>
          <w:lang w:eastAsia="en-US"/>
        </w:rPr>
        <w:t>20</w:t>
      </w:r>
      <w:r w:rsidRPr="00490C72">
        <w:rPr>
          <w:rFonts w:ascii="Arial" w:eastAsiaTheme="minorHAnsi" w:hAnsi="Arial" w:cs="Arial"/>
          <w:b/>
          <w:color w:val="365F91" w:themeColor="accent1" w:themeShade="BF"/>
          <w:sz w:val="24"/>
          <w:szCs w:val="24"/>
          <w:lang w:eastAsia="en-US"/>
        </w:rPr>
        <w:t xml:space="preserve"> года </w:t>
      </w:r>
      <w:r w:rsidRPr="00490C72">
        <w:rPr>
          <w:rFonts w:ascii="Arial" w:eastAsiaTheme="minorHAnsi" w:hAnsi="Arial" w:cs="Arial"/>
          <w:b/>
          <w:color w:val="365F91" w:themeColor="accent1" w:themeShade="BF"/>
          <w:sz w:val="24"/>
          <w:szCs w:val="24"/>
          <w:lang w:eastAsia="en-US"/>
        </w:rPr>
        <w:br/>
      </w:r>
      <w:r w:rsidR="000D6153" w:rsidRPr="00490C72">
        <w:rPr>
          <w:rFonts w:ascii="Arial" w:eastAsiaTheme="minorHAnsi" w:hAnsi="Arial" w:cs="Arial"/>
          <w:b/>
          <w:color w:val="365F91" w:themeColor="accent1" w:themeShade="BF"/>
          <w:sz w:val="24"/>
          <w:szCs w:val="24"/>
          <w:lang w:eastAsia="en-US"/>
        </w:rPr>
        <w:t>по отношению к декабрю 201</w:t>
      </w:r>
      <w:r w:rsidR="0012708E" w:rsidRPr="00490C72">
        <w:rPr>
          <w:rFonts w:ascii="Arial" w:eastAsiaTheme="minorHAnsi" w:hAnsi="Arial" w:cs="Arial"/>
          <w:b/>
          <w:color w:val="365F91" w:themeColor="accent1" w:themeShade="BF"/>
          <w:sz w:val="24"/>
          <w:szCs w:val="24"/>
          <w:lang w:eastAsia="en-US"/>
        </w:rPr>
        <w:t>9</w:t>
      </w:r>
      <w:r w:rsidRPr="00490C72">
        <w:rPr>
          <w:rFonts w:ascii="Arial" w:eastAsiaTheme="minorHAnsi" w:hAnsi="Arial" w:cs="Arial"/>
          <w:b/>
          <w:color w:val="365F91" w:themeColor="accent1" w:themeShade="BF"/>
          <w:sz w:val="24"/>
          <w:szCs w:val="24"/>
          <w:lang w:eastAsia="en-US"/>
        </w:rPr>
        <w:t xml:space="preserve"> года</w:t>
      </w:r>
      <w:r w:rsidR="00AB2B7B">
        <w:rPr>
          <w:rFonts w:ascii="Arial" w:hAnsi="Arial" w:cs="Arial"/>
          <w:color w:val="000000"/>
          <w:sz w:val="24"/>
          <w:szCs w:val="24"/>
        </w:rPr>
        <w:t xml:space="preserve">(104,7 процента) </w:t>
      </w:r>
      <w:r w:rsidRPr="007B0E55">
        <w:rPr>
          <w:rFonts w:ascii="Arial" w:hAnsi="Arial" w:cs="Arial"/>
          <w:color w:val="000000"/>
          <w:sz w:val="24"/>
          <w:szCs w:val="24"/>
        </w:rPr>
        <w:t xml:space="preserve">сложился </w:t>
      </w:r>
      <w:r w:rsidR="00D861F2">
        <w:rPr>
          <w:rFonts w:ascii="Arial" w:hAnsi="Arial" w:cs="Arial"/>
          <w:color w:val="000000"/>
          <w:sz w:val="24"/>
          <w:szCs w:val="24"/>
        </w:rPr>
        <w:t>выш</w:t>
      </w:r>
      <w:r w:rsidRPr="007B0E55">
        <w:rPr>
          <w:rFonts w:ascii="Arial" w:hAnsi="Arial" w:cs="Arial"/>
          <w:color w:val="000000"/>
          <w:sz w:val="24"/>
          <w:szCs w:val="24"/>
        </w:rPr>
        <w:t xml:space="preserve">е значения аналогичного периода предыдущего года на </w:t>
      </w:r>
      <w:r w:rsidR="00D861F2">
        <w:rPr>
          <w:rFonts w:ascii="Arial" w:hAnsi="Arial" w:cs="Arial"/>
          <w:color w:val="000000"/>
          <w:sz w:val="24"/>
          <w:szCs w:val="24"/>
        </w:rPr>
        <w:t>0,9</w:t>
      </w:r>
      <w:r w:rsidRPr="007B0E55">
        <w:rPr>
          <w:rFonts w:ascii="Arial" w:hAnsi="Arial" w:cs="Arial"/>
          <w:color w:val="000000"/>
          <w:sz w:val="24"/>
          <w:szCs w:val="24"/>
        </w:rPr>
        <w:t>процентн</w:t>
      </w:r>
      <w:r w:rsidR="00BB07E6">
        <w:rPr>
          <w:rFonts w:ascii="Arial" w:hAnsi="Arial" w:cs="Arial"/>
          <w:color w:val="000000"/>
          <w:sz w:val="24"/>
          <w:szCs w:val="24"/>
        </w:rPr>
        <w:t>ого</w:t>
      </w:r>
      <w:r w:rsidRPr="007B0E55">
        <w:rPr>
          <w:rFonts w:ascii="Arial" w:hAnsi="Arial" w:cs="Arial"/>
          <w:color w:val="000000"/>
          <w:sz w:val="24"/>
          <w:szCs w:val="24"/>
        </w:rPr>
        <w:t xml:space="preserve"> пункт</w:t>
      </w:r>
      <w:r w:rsidR="00A44F75">
        <w:rPr>
          <w:rFonts w:ascii="Arial" w:hAnsi="Arial" w:cs="Arial"/>
          <w:color w:val="000000"/>
          <w:sz w:val="24"/>
          <w:szCs w:val="24"/>
        </w:rPr>
        <w:t>а</w:t>
      </w:r>
      <w:r w:rsidRPr="007B0E55">
        <w:rPr>
          <w:rFonts w:ascii="Arial" w:hAnsi="Arial" w:cs="Arial"/>
          <w:color w:val="000000"/>
          <w:sz w:val="24"/>
          <w:szCs w:val="24"/>
        </w:rPr>
        <w:t>.</w:t>
      </w:r>
    </w:p>
    <w:p w:rsidR="009A17A0" w:rsidRPr="008A15FF" w:rsidRDefault="009A17A0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17A0" w:rsidRPr="00BA4E6D" w:rsidRDefault="009A17A0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BA4E6D">
        <w:rPr>
          <w:rFonts w:ascii="Arial" w:hAnsi="Arial" w:cs="Arial"/>
          <w:b/>
          <w:color w:val="365F91" w:themeColor="accent1" w:themeShade="BF"/>
          <w:sz w:val="26"/>
          <w:szCs w:val="26"/>
        </w:rPr>
        <w:t>Индексы потребительских цен на все товары и услуги по Красноярскому краю</w:t>
      </w:r>
    </w:p>
    <w:p w:rsidR="009A17A0" w:rsidRPr="00BA4E6D" w:rsidRDefault="009A17A0" w:rsidP="00864493">
      <w:pPr>
        <w:widowControl w:val="0"/>
        <w:shd w:val="clear" w:color="auto" w:fill="FFFFFF"/>
        <w:spacing w:after="0" w:line="280" w:lineRule="exact"/>
        <w:jc w:val="center"/>
        <w:rPr>
          <w:rFonts w:ascii="Arial" w:hAnsi="Arial" w:cs="Arial"/>
          <w:color w:val="365F91" w:themeColor="accent1" w:themeShade="BF"/>
          <w:sz w:val="26"/>
          <w:szCs w:val="26"/>
        </w:rPr>
      </w:pPr>
      <w:r w:rsidRPr="00BA4E6D">
        <w:rPr>
          <w:rFonts w:ascii="Arial" w:hAnsi="Arial" w:cs="Arial"/>
          <w:color w:val="365F91" w:themeColor="accent1" w:themeShade="BF"/>
          <w:sz w:val="26"/>
          <w:szCs w:val="26"/>
        </w:rPr>
        <w:t>(в процентах к декабрю предыдущего года)</w:t>
      </w:r>
    </w:p>
    <w:p w:rsidR="002C7620" w:rsidRPr="00A75ED1" w:rsidRDefault="002C7620" w:rsidP="009A17A0">
      <w:pPr>
        <w:pStyle w:val="a5"/>
        <w:widowControl w:val="0"/>
        <w:spacing w:line="240" w:lineRule="auto"/>
        <w:rPr>
          <w:rFonts w:ascii="Arial" w:hAnsi="Arial" w:cs="Arial"/>
          <w:bCs/>
          <w:color w:val="215968"/>
          <w:sz w:val="24"/>
          <w:szCs w:val="24"/>
        </w:rPr>
      </w:pPr>
      <w:r w:rsidRPr="002C7620">
        <w:rPr>
          <w:rFonts w:ascii="Arial" w:hAnsi="Arial" w:cs="Arial"/>
          <w:bCs/>
          <w:noProof/>
          <w:color w:val="215968"/>
          <w:sz w:val="24"/>
          <w:szCs w:val="24"/>
        </w:rPr>
        <w:drawing>
          <wp:inline distT="0" distB="0" distL="0" distR="0">
            <wp:extent cx="5886450" cy="1619250"/>
            <wp:effectExtent l="0" t="0" r="0" b="0"/>
            <wp:docPr id="6" name="Диаграмма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17A0" w:rsidRPr="00BA4E6D" w:rsidRDefault="009A17A0" w:rsidP="009A17A0">
      <w:pPr>
        <w:pStyle w:val="a3"/>
        <w:widowControl w:val="0"/>
        <w:spacing w:line="276" w:lineRule="auto"/>
        <w:ind w:firstLine="0"/>
        <w:jc w:val="center"/>
        <w:rPr>
          <w:rFonts w:eastAsiaTheme="minorHAnsi"/>
          <w:b/>
          <w:color w:val="365F91" w:themeColor="accent1" w:themeShade="BF"/>
          <w:szCs w:val="28"/>
          <w:lang w:eastAsia="en-US"/>
        </w:rPr>
      </w:pPr>
    </w:p>
    <w:p w:rsidR="009C55C1" w:rsidRDefault="009C55C1" w:rsidP="00864493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E309E" w:rsidRDefault="007E309E" w:rsidP="00864493">
      <w:pPr>
        <w:widowControl w:val="0"/>
        <w:shd w:val="clear" w:color="auto" w:fill="FFFFFF"/>
        <w:spacing w:after="0" w:line="260" w:lineRule="exact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B37DEA" w:rsidRPr="00BA4E6D" w:rsidRDefault="00B37DEA" w:rsidP="00445A2C">
      <w:pPr>
        <w:widowControl w:val="0"/>
        <w:spacing w:after="0" w:line="26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Среди наблюдаемых </w:t>
      </w:r>
      <w:r w:rsidR="00683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512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товаров и услуг 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изменение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 </w:t>
      </w:r>
      <w:r w:rsidR="00627F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FD28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</w:t>
      </w:r>
      <w:r w:rsidR="00D7277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</w:t>
      </w:r>
      <w:r w:rsidR="00683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="00A5540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по отношению к </w:t>
      </w:r>
      <w:r w:rsidR="00FD28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декабрю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</w:t>
      </w:r>
      <w:r w:rsidR="006837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сложил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F373CD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следующим образом:</w:t>
      </w:r>
    </w:p>
    <w:p w:rsidR="00F373CD" w:rsidRPr="00BA4E6D" w:rsidRDefault="00F373CD" w:rsidP="00445A2C">
      <w:pPr>
        <w:pStyle w:val="aa"/>
        <w:widowControl w:val="0"/>
        <w:numPr>
          <w:ilvl w:val="0"/>
          <w:numId w:val="1"/>
        </w:numPr>
        <w:spacing w:after="0" w:line="264" w:lineRule="auto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снизились цены на </w:t>
      </w:r>
      <w:r w:rsidR="00C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52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наименовани</w:t>
      </w:r>
      <w:r w:rsidR="00C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услуг;</w:t>
      </w:r>
    </w:p>
    <w:p w:rsidR="00BD0749" w:rsidRPr="00BA4E6D" w:rsidRDefault="00BB4C8F" w:rsidP="00445A2C">
      <w:pPr>
        <w:pStyle w:val="aa"/>
        <w:widowControl w:val="0"/>
        <w:numPr>
          <w:ilvl w:val="0"/>
          <w:numId w:val="1"/>
        </w:numPr>
        <w:spacing w:after="0" w:line="264" w:lineRule="auto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</w:t>
      </w:r>
      <w:r w:rsidR="00B37DEA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превышал уровень инфляции по </w:t>
      </w:r>
      <w:r w:rsidR="00C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228</w:t>
      </w:r>
      <w:r w:rsidR="00B37DEA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наименован</w:t>
      </w:r>
      <w:r w:rsidR="000812DF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иям</w:t>
      </w:r>
      <w:r w:rsidR="00B37DEA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</w:t>
      </w:r>
      <w:r w:rsidR="00BD0749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услуг;</w:t>
      </w:r>
    </w:p>
    <w:p w:rsidR="00B37DEA" w:rsidRPr="00BA4E6D" w:rsidRDefault="00BD0749" w:rsidP="00445A2C">
      <w:pPr>
        <w:pStyle w:val="aa"/>
        <w:widowControl w:val="0"/>
        <w:numPr>
          <w:ilvl w:val="0"/>
          <w:numId w:val="1"/>
        </w:numPr>
        <w:spacing w:after="0" w:line="264" w:lineRule="auto"/>
        <w:ind w:left="624" w:hanging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рост цен превышал уровень </w:t>
      </w:r>
      <w:r w:rsidR="00627F23"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инфляции по </w:t>
      </w:r>
      <w:r w:rsidR="00C43F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наименовани</w:t>
      </w:r>
      <w:r w:rsidR="00617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ям</w:t>
      </w:r>
      <w:r w:rsidRPr="00BA4E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товаров и услуг.</w:t>
      </w:r>
    </w:p>
    <w:p w:rsidR="00BA4E6D" w:rsidRPr="008A15FF" w:rsidRDefault="00BA4E6D" w:rsidP="00864493">
      <w:pPr>
        <w:pStyle w:val="aa"/>
        <w:widowControl w:val="0"/>
        <w:spacing w:after="0" w:line="240" w:lineRule="exact"/>
        <w:ind w:left="62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A409B" w:rsidRPr="00527B23" w:rsidRDefault="00BA409B" w:rsidP="00864493">
      <w:pPr>
        <w:widowControl w:val="0"/>
        <w:spacing w:after="0" w:line="240" w:lineRule="exact"/>
        <w:jc w:val="center"/>
        <w:rPr>
          <w:rFonts w:ascii="Arial" w:hAnsi="Arial" w:cs="Arial"/>
          <w:color w:val="C00000"/>
          <w:sz w:val="20"/>
          <w:szCs w:val="20"/>
        </w:rPr>
      </w:pPr>
      <w:r w:rsidRPr="00B02ABE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Группировка </w:t>
      </w:r>
      <w:r w:rsidR="00A13EA0" w:rsidRPr="00B02ABE">
        <w:rPr>
          <w:rFonts w:ascii="Arial" w:hAnsi="Arial" w:cs="Arial"/>
          <w:b/>
          <w:color w:val="365F91" w:themeColor="accent1" w:themeShade="BF"/>
          <w:sz w:val="26"/>
          <w:szCs w:val="26"/>
        </w:rPr>
        <w:t>потребительских</w:t>
      </w:r>
      <w:r w:rsidRPr="00B02ABE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товаров</w:t>
      </w:r>
      <w:r w:rsidR="009F0BD3" w:rsidRPr="00B02ABE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и услуг</w:t>
      </w:r>
      <w:r w:rsidRPr="00B02ABE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по темпам роста </w:t>
      </w:r>
      <w:r w:rsidR="00A13EA0" w:rsidRPr="00B02ABE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(снижения) </w:t>
      </w:r>
      <w:r w:rsidRPr="00B02ABE">
        <w:rPr>
          <w:rFonts w:ascii="Arial" w:hAnsi="Arial" w:cs="Arial"/>
          <w:b/>
          <w:color w:val="365F91" w:themeColor="accent1" w:themeShade="BF"/>
          <w:sz w:val="26"/>
          <w:szCs w:val="26"/>
        </w:rPr>
        <w:t>цен</w:t>
      </w:r>
      <w:r w:rsidRPr="00BA4E6D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br/>
      </w:r>
    </w:p>
    <w:tbl>
      <w:tblPr>
        <w:tblStyle w:val="a9"/>
        <w:tblW w:w="4876" w:type="pct"/>
        <w:jc w:val="center"/>
        <w:shd w:val="clear" w:color="auto" w:fill="FFFFFF" w:themeFill="background1"/>
        <w:tblLook w:val="04A0"/>
      </w:tblPr>
      <w:tblGrid>
        <w:gridCol w:w="3480"/>
        <w:gridCol w:w="3479"/>
        <w:gridCol w:w="3481"/>
      </w:tblGrid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Темп роста 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br/>
              <w:t>(снижения) цен, %</w:t>
            </w:r>
          </w:p>
        </w:tc>
        <w:tc>
          <w:tcPr>
            <w:tcW w:w="1666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Количество 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t xml:space="preserve"> и услуг,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>единиц</w:t>
            </w:r>
          </w:p>
        </w:tc>
        <w:tc>
          <w:tcPr>
            <w:tcW w:w="1667" w:type="pct"/>
            <w:shd w:val="clear" w:color="auto" w:fill="93CDDD"/>
            <w:vAlign w:val="center"/>
          </w:tcPr>
          <w:p w:rsidR="00C06F66" w:rsidRPr="00D76566" w:rsidRDefault="00C06F66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76566">
              <w:rPr>
                <w:rFonts w:ascii="Arial" w:hAnsi="Arial" w:cs="Arial"/>
                <w:b/>
                <w:sz w:val="24"/>
                <w:szCs w:val="24"/>
              </w:rPr>
              <w:t>Доля в общем числе наблюдаемых товаров</w:t>
            </w:r>
            <w:r w:rsidR="00EE7DAD" w:rsidRPr="00D76566">
              <w:rPr>
                <w:rFonts w:ascii="Arial" w:hAnsi="Arial" w:cs="Arial"/>
                <w:b/>
                <w:sz w:val="24"/>
                <w:szCs w:val="24"/>
              </w:rPr>
              <w:br/>
              <w:t>и услуг</w:t>
            </w:r>
            <w:r w:rsidRPr="00D76566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64586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</w:tr>
      <w:tr w:rsidR="00C5475E" w:rsidRPr="00C06F66" w:rsidTr="00836A3B">
        <w:trPr>
          <w:trHeight w:val="85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5475E" w:rsidRPr="00C06F66" w:rsidRDefault="00C5475E" w:rsidP="0079168D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до 100,0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5475E" w:rsidRPr="00C06F66" w:rsidRDefault="00C5475E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5475E" w:rsidRPr="00C5475E" w:rsidRDefault="00C5475E" w:rsidP="00C5475E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75E">
              <w:rPr>
                <w:rFonts w:ascii="Arial" w:hAnsi="Arial" w:cs="Arial"/>
                <w:sz w:val="24"/>
                <w:szCs w:val="24"/>
              </w:rPr>
              <w:t>10,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5475E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5475E" w:rsidRPr="00C06F66" w:rsidRDefault="00C5475E" w:rsidP="00C5475E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 w:rsidRPr="00C06F66">
              <w:rPr>
                <w:rFonts w:ascii="Arial" w:hAnsi="Arial" w:cs="Arial"/>
                <w:sz w:val="24"/>
                <w:szCs w:val="24"/>
              </w:rPr>
              <w:t>100,0-</w:t>
            </w:r>
            <w:r>
              <w:rPr>
                <w:rFonts w:ascii="Arial" w:hAnsi="Arial" w:cs="Arial"/>
                <w:sz w:val="24"/>
                <w:szCs w:val="24"/>
              </w:rPr>
              <w:t>104,7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5475E" w:rsidRPr="00C06F66" w:rsidRDefault="00C5475E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5475E" w:rsidRPr="00C5475E" w:rsidRDefault="00C5475E" w:rsidP="00C5475E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75E">
              <w:rPr>
                <w:rFonts w:ascii="Arial" w:hAnsi="Arial" w:cs="Arial"/>
                <w:sz w:val="24"/>
                <w:szCs w:val="24"/>
              </w:rPr>
              <w:t>44,5</w:t>
            </w:r>
          </w:p>
        </w:tc>
      </w:tr>
      <w:tr w:rsidR="00C5475E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5475E" w:rsidRPr="00C06F66" w:rsidRDefault="00C5475E" w:rsidP="00C5475E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104,8-110,0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5475E" w:rsidRPr="00C06F66" w:rsidRDefault="00C5475E" w:rsidP="00DA3FD3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5475E" w:rsidRPr="00C5475E" w:rsidRDefault="00C5475E" w:rsidP="00C5475E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75E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</w:tr>
      <w:tr w:rsidR="00C5475E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5475E" w:rsidRPr="00C06F66" w:rsidRDefault="00C5475E" w:rsidP="0079168D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C06F66">
              <w:rPr>
                <w:rFonts w:ascii="Arial" w:hAnsi="Arial" w:cs="Arial"/>
                <w:sz w:val="24"/>
                <w:szCs w:val="24"/>
              </w:rPr>
              <w:t>выше</w:t>
            </w:r>
            <w:r>
              <w:rPr>
                <w:rFonts w:ascii="Arial" w:hAnsi="Arial" w:cs="Arial"/>
                <w:sz w:val="24"/>
                <w:szCs w:val="24"/>
              </w:rPr>
              <w:t xml:space="preserve"> 110,0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5475E" w:rsidRPr="00C06F66" w:rsidRDefault="00C5475E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5475E" w:rsidRPr="00C5475E" w:rsidRDefault="00C5475E" w:rsidP="00C5475E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75E">
              <w:rPr>
                <w:rFonts w:ascii="Arial" w:hAnsi="Arial" w:cs="Arial"/>
                <w:sz w:val="24"/>
                <w:szCs w:val="24"/>
              </w:rPr>
              <w:t>14,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C5475E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5475E" w:rsidRPr="00C06F66" w:rsidRDefault="00C5475E" w:rsidP="0079168D">
            <w:pPr>
              <w:widowControl w:val="0"/>
              <w:spacing w:line="260" w:lineRule="exac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из них свыше 120,0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5475E" w:rsidRPr="00C06F66" w:rsidRDefault="00C5475E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5475E" w:rsidRPr="00C5475E" w:rsidRDefault="00C5475E" w:rsidP="00C5475E">
            <w:pPr>
              <w:widowControl w:val="0"/>
              <w:spacing w:line="26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5475E">
              <w:rPr>
                <w:rFonts w:ascii="Arial" w:hAnsi="Arial" w:cs="Arial"/>
                <w:sz w:val="24"/>
                <w:szCs w:val="24"/>
              </w:rPr>
              <w:t>4,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06F66" w:rsidRPr="00C06F66" w:rsidTr="00836A3B">
        <w:trPr>
          <w:trHeight w:val="21"/>
          <w:jc w:val="center"/>
        </w:trPr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C06F66" w:rsidP="0079168D">
            <w:pPr>
              <w:widowControl w:val="0"/>
              <w:spacing w:line="26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C06F66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666" w:type="pct"/>
            <w:shd w:val="clear" w:color="auto" w:fill="FFFFFF" w:themeFill="background1"/>
            <w:vAlign w:val="bottom"/>
          </w:tcPr>
          <w:p w:rsidR="00C06F66" w:rsidRPr="00C06F66" w:rsidRDefault="00125627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617A91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667" w:type="pct"/>
            <w:shd w:val="clear" w:color="auto" w:fill="FFFFFF" w:themeFill="background1"/>
            <w:vAlign w:val="bottom"/>
          </w:tcPr>
          <w:p w:rsidR="00C06F66" w:rsidRPr="00C06F66" w:rsidRDefault="00125627" w:rsidP="0079168D">
            <w:pPr>
              <w:widowControl w:val="0"/>
              <w:spacing w:line="26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</w:tbl>
    <w:p w:rsidR="00BA4E6D" w:rsidRDefault="00BA4E6D" w:rsidP="00864493">
      <w:pPr>
        <w:widowControl w:val="0"/>
        <w:spacing w:after="0" w:line="26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7246" w:rsidRDefault="00F067D0" w:rsidP="00445A2C">
      <w:pPr>
        <w:widowControl w:val="0"/>
        <w:spacing w:after="0" w:line="26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начительн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ый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рост цен и тарифов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20 процентов) наблюдал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ся</w:t>
      </w:r>
      <w:r w:rsidR="00BB07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 w:rsidR="00C5475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617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аименова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ниям товаров и услуг: </w:t>
      </w:r>
      <w:r w:rsidR="001E3394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1E3394" w:rsidRPr="001E3394">
        <w:rPr>
          <w:rFonts w:ascii="Arial" w:eastAsia="Times New Roman" w:hAnsi="Arial" w:cs="Arial"/>
          <w:sz w:val="24"/>
          <w:szCs w:val="24"/>
          <w:lang w:eastAsia="ru-RU"/>
        </w:rPr>
        <w:t>ермометр медицинский ртутный</w:t>
      </w:r>
      <w:r w:rsidR="00617A91">
        <w:rPr>
          <w:rFonts w:ascii="Arial" w:eastAsia="Times New Roman" w:hAnsi="Arial" w:cs="Arial"/>
          <w:sz w:val="24"/>
          <w:szCs w:val="24"/>
          <w:lang w:eastAsia="ru-RU"/>
        </w:rPr>
        <w:t xml:space="preserve"> – на6</w:t>
      </w:r>
      <w:r w:rsidR="001E3394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617A9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E3394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617A91">
        <w:rPr>
          <w:rFonts w:ascii="Arial" w:eastAsia="Times New Roman" w:hAnsi="Arial" w:cs="Arial"/>
          <w:sz w:val="24"/>
          <w:szCs w:val="24"/>
          <w:lang w:eastAsia="ru-RU"/>
        </w:rPr>
        <w:t xml:space="preserve"> процента, </w:t>
      </w:r>
      <w:r w:rsidR="00617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="00617A91" w:rsidRPr="00617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рупа </w:t>
      </w:r>
      <w:proofErr w:type="spellStart"/>
      <w:r w:rsidR="00617A91" w:rsidRPr="00617A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гречневая-ядрица</w:t>
      </w:r>
      <w:proofErr w:type="spellEnd"/>
      <w:r w:rsidR="00FE516D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proofErr w:type="gramStart"/>
      <w:r w:rsidR="00FE516D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FE51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17A91">
        <w:rPr>
          <w:rFonts w:ascii="Arial" w:eastAsia="Times New Roman" w:hAnsi="Arial" w:cs="Arial"/>
          <w:sz w:val="24"/>
          <w:szCs w:val="24"/>
          <w:lang w:eastAsia="ru-RU"/>
        </w:rPr>
        <w:t>47,</w:t>
      </w:r>
      <w:r w:rsidR="001E339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E516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E339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E3394" w:rsidRPr="001E3394">
        <w:rPr>
          <w:rFonts w:ascii="Arial" w:eastAsia="Times New Roman" w:hAnsi="Arial" w:cs="Arial"/>
          <w:sz w:val="24"/>
          <w:szCs w:val="24"/>
          <w:lang w:eastAsia="ru-RU"/>
        </w:rPr>
        <w:t>артофель</w:t>
      </w:r>
      <w:r w:rsidR="0044443E">
        <w:rPr>
          <w:rFonts w:ascii="Arial" w:eastAsia="Times New Roman" w:hAnsi="Arial" w:cs="Arial"/>
          <w:sz w:val="24"/>
          <w:szCs w:val="24"/>
          <w:lang w:eastAsia="ru-RU"/>
        </w:rPr>
        <w:t xml:space="preserve"> – на </w:t>
      </w:r>
      <w:r w:rsidR="001E3394">
        <w:rPr>
          <w:rFonts w:ascii="Arial" w:eastAsia="Times New Roman" w:hAnsi="Arial" w:cs="Arial"/>
          <w:sz w:val="24"/>
          <w:szCs w:val="24"/>
          <w:lang w:eastAsia="ru-RU"/>
        </w:rPr>
        <w:t>44</w:t>
      </w:r>
      <w:r w:rsidR="00617A91">
        <w:rPr>
          <w:rFonts w:ascii="Arial" w:eastAsia="Times New Roman" w:hAnsi="Arial" w:cs="Arial"/>
          <w:sz w:val="24"/>
          <w:szCs w:val="24"/>
          <w:lang w:eastAsia="ru-RU"/>
        </w:rPr>
        <w:t>,2</w:t>
      </w:r>
      <w:r w:rsidR="0044443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E339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E3394" w:rsidRPr="001E3394">
        <w:rPr>
          <w:rFonts w:ascii="Arial" w:eastAsia="Times New Roman" w:hAnsi="Arial" w:cs="Arial"/>
          <w:sz w:val="24"/>
          <w:szCs w:val="24"/>
          <w:lang w:eastAsia="ru-RU"/>
        </w:rPr>
        <w:t>ольцо обручальное золотое</w:t>
      </w:r>
      <w:r w:rsidR="00617A91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1E3394">
        <w:rPr>
          <w:rFonts w:ascii="Arial" w:eastAsia="Times New Roman" w:hAnsi="Arial" w:cs="Arial"/>
          <w:sz w:val="24"/>
          <w:szCs w:val="24"/>
          <w:lang w:eastAsia="ru-RU"/>
        </w:rPr>
        <w:br/>
      </w:r>
      <w:r w:rsidR="00617A91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1E3394">
        <w:rPr>
          <w:rFonts w:ascii="Arial" w:eastAsia="Times New Roman" w:hAnsi="Arial" w:cs="Arial"/>
          <w:sz w:val="24"/>
          <w:szCs w:val="24"/>
          <w:lang w:eastAsia="ru-RU"/>
        </w:rPr>
        <w:t xml:space="preserve">41,3, 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="001E3394" w:rsidRP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ахар-песок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41,1, «</w:t>
      </w:r>
      <w:proofErr w:type="spellStart"/>
      <w:r w:rsidR="001E3394" w:rsidRP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Линекс</w:t>
      </w:r>
      <w:proofErr w:type="spellEnd"/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на 35,4, Овсяные хлопья «</w:t>
      </w:r>
      <w:r w:rsidR="001E3394" w:rsidRP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Геркулес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на 34,3, и</w:t>
      </w:r>
      <w:r w:rsidR="001E3394" w:rsidRP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 лососевых рыб, отечественная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28,8, т</w:t>
      </w:r>
      <w:r w:rsidR="001E3394" w:rsidRP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ермометр медицинский электронный стандартный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27,8, «</w:t>
      </w:r>
      <w:proofErr w:type="spellStart"/>
      <w:r w:rsidR="001E3394" w:rsidRP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Аллохол</w:t>
      </w:r>
      <w:proofErr w:type="spellEnd"/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на 27,3,м</w:t>
      </w:r>
      <w:r w:rsidR="001E3394" w:rsidRP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асло подсолнечное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27,0,  л</w:t>
      </w:r>
      <w:r w:rsidR="001E3394" w:rsidRP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имоны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26,3, «</w:t>
      </w:r>
      <w:proofErr w:type="spellStart"/>
      <w:r w:rsidR="001E3394" w:rsidRP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Метамизол</w:t>
      </w:r>
      <w:proofErr w:type="spellEnd"/>
      <w:r w:rsidR="001E3394" w:rsidRP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натрия (Анальгин отечественный)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на 26,2, с</w:t>
      </w:r>
      <w:r w:rsidR="001E3394" w:rsidRP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вёкла столовая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 </w:t>
      </w:r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25,4</w:t>
      </w:r>
      <w:r w:rsidR="001E3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proofErr w:type="spellStart"/>
      <w:r w:rsidR="007E73C5" w:rsidRP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Сульфацетамид</w:t>
      </w:r>
      <w:proofErr w:type="spellEnd"/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на 25,4, «</w:t>
      </w:r>
      <w:proofErr w:type="spellStart"/>
      <w:r w:rsidR="007E73C5" w:rsidRP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Бромгексин</w:t>
      </w:r>
      <w:proofErr w:type="spellEnd"/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E27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25,2, «</w:t>
      </w:r>
      <w:proofErr w:type="spellStart"/>
      <w:r w:rsidR="007E73C5" w:rsidRP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Троксерутин</w:t>
      </w:r>
      <w:proofErr w:type="spellEnd"/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E27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24,6, а</w:t>
      </w:r>
      <w:r w:rsidR="007E73C5" w:rsidRP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пельсины</w:t>
      </w:r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24,3, м</w:t>
      </w:r>
      <w:r w:rsidR="007E73C5" w:rsidRP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иксер, </w:t>
      </w:r>
      <w:proofErr w:type="spellStart"/>
      <w:r w:rsidR="007E73C5" w:rsidRP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блендер</w:t>
      </w:r>
      <w:proofErr w:type="spellEnd"/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23,5, й</w:t>
      </w:r>
      <w:r w:rsidR="007E73C5" w:rsidRP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</w:t>
      </w:r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22,5, д</w:t>
      </w:r>
      <w:r w:rsidR="007E73C5" w:rsidRP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</w:t>
      </w:r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22,4, м</w:t>
      </w:r>
      <w:r w:rsidR="007E73C5" w:rsidRP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орковь</w:t>
      </w:r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на 22,4, о</w:t>
      </w:r>
      <w:r w:rsidR="007E73C5" w:rsidRP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гурцы свежие</w:t>
      </w:r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21,6, «</w:t>
      </w:r>
      <w:r w:rsidR="007E73C5" w:rsidRP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Валидол</w:t>
      </w:r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– </w:t>
      </w:r>
      <w:proofErr w:type="gramStart"/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="007E73C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20,3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процента.</w:t>
      </w:r>
    </w:p>
    <w:p w:rsidR="00E278D3" w:rsidRDefault="00E278D3" w:rsidP="00445A2C">
      <w:pPr>
        <w:widowControl w:val="0"/>
        <w:spacing w:after="0" w:line="264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Наибольшее снижение цен и тарифов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(более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 процентов) наблюдал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Pr="00897C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аименова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ниям товаров и услуг:</w:t>
      </w:r>
      <w:r w:rsidR="007E30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</w:t>
      </w:r>
      <w:r w:rsidRPr="00E27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апуста белокочанная свежая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20,6 процента, «</w:t>
      </w:r>
      <w:proofErr w:type="spellStart"/>
      <w:r w:rsidRPr="00E27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Винпоцетин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– на 15, п</w:t>
      </w:r>
      <w:r w:rsidRPr="00E27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олет в салоне экономического класса самолета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на 13,8, п</w:t>
      </w:r>
      <w:r w:rsidRPr="00E278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 на 11,1 процента.</w:t>
      </w:r>
    </w:p>
    <w:p w:rsidR="004E51DB" w:rsidRDefault="004E51DB" w:rsidP="004E51DB">
      <w:pPr>
        <w:widowControl w:val="0"/>
        <w:spacing w:after="0" w:line="264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590423" cy="3724275"/>
            <wp:effectExtent l="19050" t="0" r="877" b="0"/>
            <wp:docPr id="1" name="Рисунок 1" descr="C:\Users\123\Downloads\На САЙТ\ИПЦ-месячный-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wnloads\На САЙТ\ИПЦ-месячный-К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743" cy="3725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1DB" w:rsidSect="003A0566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54535"/>
    <w:multiLevelType w:val="hybridMultilevel"/>
    <w:tmpl w:val="ACDE5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3CE"/>
    <w:rsid w:val="000020F2"/>
    <w:rsid w:val="00011035"/>
    <w:rsid w:val="000231F6"/>
    <w:rsid w:val="0002399D"/>
    <w:rsid w:val="000276FB"/>
    <w:rsid w:val="000310D3"/>
    <w:rsid w:val="0003204F"/>
    <w:rsid w:val="00032D30"/>
    <w:rsid w:val="000417E6"/>
    <w:rsid w:val="00042563"/>
    <w:rsid w:val="000579B2"/>
    <w:rsid w:val="00060488"/>
    <w:rsid w:val="00072CC9"/>
    <w:rsid w:val="00076CB4"/>
    <w:rsid w:val="000812DF"/>
    <w:rsid w:val="000822DF"/>
    <w:rsid w:val="00084AE0"/>
    <w:rsid w:val="00084BA7"/>
    <w:rsid w:val="000940C1"/>
    <w:rsid w:val="000B3216"/>
    <w:rsid w:val="000B55D6"/>
    <w:rsid w:val="000C28F5"/>
    <w:rsid w:val="000C2D24"/>
    <w:rsid w:val="000D30C8"/>
    <w:rsid w:val="000D4DAE"/>
    <w:rsid w:val="000D5F77"/>
    <w:rsid w:val="000D6153"/>
    <w:rsid w:val="000E4B1B"/>
    <w:rsid w:val="000E53E2"/>
    <w:rsid w:val="000F3B37"/>
    <w:rsid w:val="001017AB"/>
    <w:rsid w:val="00104E02"/>
    <w:rsid w:val="00107C87"/>
    <w:rsid w:val="00111299"/>
    <w:rsid w:val="00112EF5"/>
    <w:rsid w:val="001200C4"/>
    <w:rsid w:val="00123409"/>
    <w:rsid w:val="0012372E"/>
    <w:rsid w:val="00123E15"/>
    <w:rsid w:val="001242AC"/>
    <w:rsid w:val="0012478E"/>
    <w:rsid w:val="00125627"/>
    <w:rsid w:val="0012708E"/>
    <w:rsid w:val="00132F55"/>
    <w:rsid w:val="00137536"/>
    <w:rsid w:val="001420CB"/>
    <w:rsid w:val="001427CC"/>
    <w:rsid w:val="00142C86"/>
    <w:rsid w:val="0014305B"/>
    <w:rsid w:val="00152545"/>
    <w:rsid w:val="00156DF7"/>
    <w:rsid w:val="0015799F"/>
    <w:rsid w:val="00162216"/>
    <w:rsid w:val="001628EB"/>
    <w:rsid w:val="001638B7"/>
    <w:rsid w:val="001653FE"/>
    <w:rsid w:val="001718B1"/>
    <w:rsid w:val="001750B7"/>
    <w:rsid w:val="001826F4"/>
    <w:rsid w:val="001830B0"/>
    <w:rsid w:val="001855D6"/>
    <w:rsid w:val="00187FE6"/>
    <w:rsid w:val="001A7049"/>
    <w:rsid w:val="001B2729"/>
    <w:rsid w:val="001B3685"/>
    <w:rsid w:val="001B71FC"/>
    <w:rsid w:val="001C367E"/>
    <w:rsid w:val="001C6C29"/>
    <w:rsid w:val="001C7D33"/>
    <w:rsid w:val="001D078E"/>
    <w:rsid w:val="001D51CB"/>
    <w:rsid w:val="001E11F3"/>
    <w:rsid w:val="001E3394"/>
    <w:rsid w:val="001F3337"/>
    <w:rsid w:val="001F7FA0"/>
    <w:rsid w:val="002024AC"/>
    <w:rsid w:val="0020622D"/>
    <w:rsid w:val="0020638F"/>
    <w:rsid w:val="00207366"/>
    <w:rsid w:val="00210F83"/>
    <w:rsid w:val="00210FF1"/>
    <w:rsid w:val="002171B9"/>
    <w:rsid w:val="00231788"/>
    <w:rsid w:val="00233110"/>
    <w:rsid w:val="00247223"/>
    <w:rsid w:val="002500B9"/>
    <w:rsid w:val="00250834"/>
    <w:rsid w:val="00252F52"/>
    <w:rsid w:val="00256F0A"/>
    <w:rsid w:val="00257757"/>
    <w:rsid w:val="00257F4F"/>
    <w:rsid w:val="00260054"/>
    <w:rsid w:val="00262E2D"/>
    <w:rsid w:val="002658BD"/>
    <w:rsid w:val="002754DB"/>
    <w:rsid w:val="00277C90"/>
    <w:rsid w:val="00277E27"/>
    <w:rsid w:val="00280370"/>
    <w:rsid w:val="002807C5"/>
    <w:rsid w:val="00283A94"/>
    <w:rsid w:val="00286128"/>
    <w:rsid w:val="00293BC8"/>
    <w:rsid w:val="00297B5F"/>
    <w:rsid w:val="002A13CA"/>
    <w:rsid w:val="002A1866"/>
    <w:rsid w:val="002A34C0"/>
    <w:rsid w:val="002A54D6"/>
    <w:rsid w:val="002A7801"/>
    <w:rsid w:val="002B3339"/>
    <w:rsid w:val="002C3FA3"/>
    <w:rsid w:val="002C5792"/>
    <w:rsid w:val="002C7620"/>
    <w:rsid w:val="002D2AD7"/>
    <w:rsid w:val="002D78A7"/>
    <w:rsid w:val="002E2829"/>
    <w:rsid w:val="002E3DF2"/>
    <w:rsid w:val="002E4414"/>
    <w:rsid w:val="002E7E50"/>
    <w:rsid w:val="002F54F1"/>
    <w:rsid w:val="0030145D"/>
    <w:rsid w:val="00304974"/>
    <w:rsid w:val="00305D20"/>
    <w:rsid w:val="00306346"/>
    <w:rsid w:val="003066C6"/>
    <w:rsid w:val="00310FBE"/>
    <w:rsid w:val="00321608"/>
    <w:rsid w:val="00322B29"/>
    <w:rsid w:val="00325D0B"/>
    <w:rsid w:val="00327B1E"/>
    <w:rsid w:val="00330F50"/>
    <w:rsid w:val="00331FF5"/>
    <w:rsid w:val="0034737D"/>
    <w:rsid w:val="00357D17"/>
    <w:rsid w:val="00364510"/>
    <w:rsid w:val="00365BB6"/>
    <w:rsid w:val="00367145"/>
    <w:rsid w:val="003853D1"/>
    <w:rsid w:val="00387B90"/>
    <w:rsid w:val="003975C4"/>
    <w:rsid w:val="003A0566"/>
    <w:rsid w:val="003A39E4"/>
    <w:rsid w:val="003A56D3"/>
    <w:rsid w:val="003B4C77"/>
    <w:rsid w:val="003C6E38"/>
    <w:rsid w:val="003D080B"/>
    <w:rsid w:val="003D51EC"/>
    <w:rsid w:val="003E4150"/>
    <w:rsid w:val="003E5543"/>
    <w:rsid w:val="003E72A5"/>
    <w:rsid w:val="003F0FD2"/>
    <w:rsid w:val="003F1EAC"/>
    <w:rsid w:val="003F681C"/>
    <w:rsid w:val="00407B69"/>
    <w:rsid w:val="004167D4"/>
    <w:rsid w:val="00417EF4"/>
    <w:rsid w:val="0042075C"/>
    <w:rsid w:val="00424660"/>
    <w:rsid w:val="00424C24"/>
    <w:rsid w:val="00425229"/>
    <w:rsid w:val="004335FE"/>
    <w:rsid w:val="00433B4E"/>
    <w:rsid w:val="00434A27"/>
    <w:rsid w:val="00436CEF"/>
    <w:rsid w:val="00443429"/>
    <w:rsid w:val="0044443E"/>
    <w:rsid w:val="00444FB3"/>
    <w:rsid w:val="00445A2C"/>
    <w:rsid w:val="004628C1"/>
    <w:rsid w:val="00463D7C"/>
    <w:rsid w:val="00465CF5"/>
    <w:rsid w:val="004679C4"/>
    <w:rsid w:val="00470455"/>
    <w:rsid w:val="004776D5"/>
    <w:rsid w:val="004822C9"/>
    <w:rsid w:val="00482D59"/>
    <w:rsid w:val="00487ABA"/>
    <w:rsid w:val="00490C72"/>
    <w:rsid w:val="00491589"/>
    <w:rsid w:val="0049290D"/>
    <w:rsid w:val="00497078"/>
    <w:rsid w:val="004A0A4E"/>
    <w:rsid w:val="004A12DB"/>
    <w:rsid w:val="004B1BA8"/>
    <w:rsid w:val="004B237B"/>
    <w:rsid w:val="004B3FE0"/>
    <w:rsid w:val="004B43B0"/>
    <w:rsid w:val="004B460F"/>
    <w:rsid w:val="004C1BF2"/>
    <w:rsid w:val="004C2326"/>
    <w:rsid w:val="004D2189"/>
    <w:rsid w:val="004D341D"/>
    <w:rsid w:val="004D6BE5"/>
    <w:rsid w:val="004E03B6"/>
    <w:rsid w:val="004E51DB"/>
    <w:rsid w:val="004F4EEF"/>
    <w:rsid w:val="004F50BB"/>
    <w:rsid w:val="004F6A12"/>
    <w:rsid w:val="004F6E7C"/>
    <w:rsid w:val="00500F1E"/>
    <w:rsid w:val="00501797"/>
    <w:rsid w:val="00505B54"/>
    <w:rsid w:val="00505C25"/>
    <w:rsid w:val="00513650"/>
    <w:rsid w:val="00515437"/>
    <w:rsid w:val="0052582C"/>
    <w:rsid w:val="00527146"/>
    <w:rsid w:val="00527B23"/>
    <w:rsid w:val="005320BC"/>
    <w:rsid w:val="00532A36"/>
    <w:rsid w:val="00542C15"/>
    <w:rsid w:val="00546BCC"/>
    <w:rsid w:val="00551DA6"/>
    <w:rsid w:val="0056110A"/>
    <w:rsid w:val="005611AC"/>
    <w:rsid w:val="00564681"/>
    <w:rsid w:val="00567CA7"/>
    <w:rsid w:val="00570F3D"/>
    <w:rsid w:val="0057285F"/>
    <w:rsid w:val="00573EB0"/>
    <w:rsid w:val="00575693"/>
    <w:rsid w:val="005808B5"/>
    <w:rsid w:val="005834E9"/>
    <w:rsid w:val="00584C6F"/>
    <w:rsid w:val="00591455"/>
    <w:rsid w:val="00592B66"/>
    <w:rsid w:val="00593B86"/>
    <w:rsid w:val="00594B79"/>
    <w:rsid w:val="005A184A"/>
    <w:rsid w:val="005A1B64"/>
    <w:rsid w:val="005B3E96"/>
    <w:rsid w:val="005B537C"/>
    <w:rsid w:val="005B770F"/>
    <w:rsid w:val="005B7BA0"/>
    <w:rsid w:val="005C32A5"/>
    <w:rsid w:val="005C420E"/>
    <w:rsid w:val="005D39B7"/>
    <w:rsid w:val="005E6A7F"/>
    <w:rsid w:val="005E769E"/>
    <w:rsid w:val="005F0CE8"/>
    <w:rsid w:val="005F1611"/>
    <w:rsid w:val="005F61DD"/>
    <w:rsid w:val="00605F8D"/>
    <w:rsid w:val="00606280"/>
    <w:rsid w:val="0060644A"/>
    <w:rsid w:val="00617A91"/>
    <w:rsid w:val="00627AE4"/>
    <w:rsid w:val="00627F23"/>
    <w:rsid w:val="006368B7"/>
    <w:rsid w:val="00636A00"/>
    <w:rsid w:val="00636E68"/>
    <w:rsid w:val="006400F1"/>
    <w:rsid w:val="00640CD4"/>
    <w:rsid w:val="00646507"/>
    <w:rsid w:val="0065073E"/>
    <w:rsid w:val="00651266"/>
    <w:rsid w:val="00651DB9"/>
    <w:rsid w:val="00655A96"/>
    <w:rsid w:val="00656285"/>
    <w:rsid w:val="00656665"/>
    <w:rsid w:val="00666384"/>
    <w:rsid w:val="0066694A"/>
    <w:rsid w:val="00666BA5"/>
    <w:rsid w:val="006733C1"/>
    <w:rsid w:val="00676FDE"/>
    <w:rsid w:val="0067786B"/>
    <w:rsid w:val="00677E77"/>
    <w:rsid w:val="006837E5"/>
    <w:rsid w:val="00686D7B"/>
    <w:rsid w:val="006928A4"/>
    <w:rsid w:val="006934B2"/>
    <w:rsid w:val="006938E4"/>
    <w:rsid w:val="0069598E"/>
    <w:rsid w:val="006A0EEB"/>
    <w:rsid w:val="006A1BAE"/>
    <w:rsid w:val="006A5FE6"/>
    <w:rsid w:val="006B26B4"/>
    <w:rsid w:val="006B2B9D"/>
    <w:rsid w:val="006B2EB0"/>
    <w:rsid w:val="006B6978"/>
    <w:rsid w:val="006C5919"/>
    <w:rsid w:val="006D366C"/>
    <w:rsid w:val="006D5941"/>
    <w:rsid w:val="006D598A"/>
    <w:rsid w:val="006E12CB"/>
    <w:rsid w:val="006E268A"/>
    <w:rsid w:val="006E567B"/>
    <w:rsid w:val="006F0CF9"/>
    <w:rsid w:val="006F56EA"/>
    <w:rsid w:val="007010E6"/>
    <w:rsid w:val="007045F0"/>
    <w:rsid w:val="0071215F"/>
    <w:rsid w:val="00712F98"/>
    <w:rsid w:val="00713072"/>
    <w:rsid w:val="007150D8"/>
    <w:rsid w:val="00722CFE"/>
    <w:rsid w:val="00724AFE"/>
    <w:rsid w:val="00730897"/>
    <w:rsid w:val="00730D3E"/>
    <w:rsid w:val="007347C1"/>
    <w:rsid w:val="00734A6D"/>
    <w:rsid w:val="00745C95"/>
    <w:rsid w:val="0074613C"/>
    <w:rsid w:val="00753640"/>
    <w:rsid w:val="007635F7"/>
    <w:rsid w:val="00766141"/>
    <w:rsid w:val="007745C0"/>
    <w:rsid w:val="00781D33"/>
    <w:rsid w:val="00782102"/>
    <w:rsid w:val="00787246"/>
    <w:rsid w:val="0079168D"/>
    <w:rsid w:val="00794A26"/>
    <w:rsid w:val="00794FC5"/>
    <w:rsid w:val="007955F1"/>
    <w:rsid w:val="007B0E55"/>
    <w:rsid w:val="007B5B13"/>
    <w:rsid w:val="007C44F9"/>
    <w:rsid w:val="007C50EE"/>
    <w:rsid w:val="007C71A6"/>
    <w:rsid w:val="007C77DE"/>
    <w:rsid w:val="007D036B"/>
    <w:rsid w:val="007D50A0"/>
    <w:rsid w:val="007E309E"/>
    <w:rsid w:val="007E73C5"/>
    <w:rsid w:val="007F3CA8"/>
    <w:rsid w:val="007F46EE"/>
    <w:rsid w:val="007F4DA0"/>
    <w:rsid w:val="007F525E"/>
    <w:rsid w:val="008055D3"/>
    <w:rsid w:val="00805D9D"/>
    <w:rsid w:val="00805DBC"/>
    <w:rsid w:val="008073C8"/>
    <w:rsid w:val="008117C3"/>
    <w:rsid w:val="00815260"/>
    <w:rsid w:val="008233F3"/>
    <w:rsid w:val="008324BF"/>
    <w:rsid w:val="008346ED"/>
    <w:rsid w:val="00836A3B"/>
    <w:rsid w:val="00836A80"/>
    <w:rsid w:val="00846BC3"/>
    <w:rsid w:val="00856AE3"/>
    <w:rsid w:val="00857133"/>
    <w:rsid w:val="00864493"/>
    <w:rsid w:val="008655E1"/>
    <w:rsid w:val="00875D68"/>
    <w:rsid w:val="0089031F"/>
    <w:rsid w:val="0089086F"/>
    <w:rsid w:val="008958A7"/>
    <w:rsid w:val="00896585"/>
    <w:rsid w:val="008A0FEF"/>
    <w:rsid w:val="008A15FF"/>
    <w:rsid w:val="008A1ADB"/>
    <w:rsid w:val="008B3998"/>
    <w:rsid w:val="008B60F2"/>
    <w:rsid w:val="008C4C52"/>
    <w:rsid w:val="008C7CF0"/>
    <w:rsid w:val="008D0CBB"/>
    <w:rsid w:val="008D4410"/>
    <w:rsid w:val="008D6BB6"/>
    <w:rsid w:val="008E57EE"/>
    <w:rsid w:val="008E5847"/>
    <w:rsid w:val="008E69C4"/>
    <w:rsid w:val="008E70A9"/>
    <w:rsid w:val="008F0736"/>
    <w:rsid w:val="008F323B"/>
    <w:rsid w:val="008F44FB"/>
    <w:rsid w:val="009077CB"/>
    <w:rsid w:val="00917695"/>
    <w:rsid w:val="00920E1B"/>
    <w:rsid w:val="00923B0B"/>
    <w:rsid w:val="00930C2F"/>
    <w:rsid w:val="009462DD"/>
    <w:rsid w:val="00951042"/>
    <w:rsid w:val="00955321"/>
    <w:rsid w:val="00956D35"/>
    <w:rsid w:val="00957466"/>
    <w:rsid w:val="009619A9"/>
    <w:rsid w:val="00964A76"/>
    <w:rsid w:val="00966CE7"/>
    <w:rsid w:val="00972100"/>
    <w:rsid w:val="009742EC"/>
    <w:rsid w:val="00974A66"/>
    <w:rsid w:val="009822F3"/>
    <w:rsid w:val="009924A4"/>
    <w:rsid w:val="00993C93"/>
    <w:rsid w:val="009A17A0"/>
    <w:rsid w:val="009C55C1"/>
    <w:rsid w:val="009E3945"/>
    <w:rsid w:val="009E3F58"/>
    <w:rsid w:val="009E5143"/>
    <w:rsid w:val="009F0636"/>
    <w:rsid w:val="009F0BD3"/>
    <w:rsid w:val="00A0148C"/>
    <w:rsid w:val="00A11640"/>
    <w:rsid w:val="00A12FF0"/>
    <w:rsid w:val="00A13EA0"/>
    <w:rsid w:val="00A2446B"/>
    <w:rsid w:val="00A26DC1"/>
    <w:rsid w:val="00A31BEE"/>
    <w:rsid w:val="00A36C8E"/>
    <w:rsid w:val="00A44F75"/>
    <w:rsid w:val="00A45884"/>
    <w:rsid w:val="00A46546"/>
    <w:rsid w:val="00A50084"/>
    <w:rsid w:val="00A50A4D"/>
    <w:rsid w:val="00A5171A"/>
    <w:rsid w:val="00A5540F"/>
    <w:rsid w:val="00A55661"/>
    <w:rsid w:val="00A57B40"/>
    <w:rsid w:val="00A64586"/>
    <w:rsid w:val="00A70D19"/>
    <w:rsid w:val="00A75ED1"/>
    <w:rsid w:val="00A77564"/>
    <w:rsid w:val="00A7793C"/>
    <w:rsid w:val="00A82011"/>
    <w:rsid w:val="00A85D5E"/>
    <w:rsid w:val="00A915AE"/>
    <w:rsid w:val="00A9249E"/>
    <w:rsid w:val="00AA037A"/>
    <w:rsid w:val="00AA30A1"/>
    <w:rsid w:val="00AA7803"/>
    <w:rsid w:val="00AB2B7B"/>
    <w:rsid w:val="00AB37DA"/>
    <w:rsid w:val="00AC136F"/>
    <w:rsid w:val="00AC3E57"/>
    <w:rsid w:val="00AC6AF6"/>
    <w:rsid w:val="00AE1C6D"/>
    <w:rsid w:val="00AE31A1"/>
    <w:rsid w:val="00AF1360"/>
    <w:rsid w:val="00AF4D9A"/>
    <w:rsid w:val="00AF70E9"/>
    <w:rsid w:val="00B01F4B"/>
    <w:rsid w:val="00B02ABE"/>
    <w:rsid w:val="00B03778"/>
    <w:rsid w:val="00B10279"/>
    <w:rsid w:val="00B10454"/>
    <w:rsid w:val="00B115C2"/>
    <w:rsid w:val="00B116E5"/>
    <w:rsid w:val="00B12B98"/>
    <w:rsid w:val="00B3567D"/>
    <w:rsid w:val="00B36109"/>
    <w:rsid w:val="00B37DEA"/>
    <w:rsid w:val="00B42A56"/>
    <w:rsid w:val="00B47656"/>
    <w:rsid w:val="00B566DF"/>
    <w:rsid w:val="00B66992"/>
    <w:rsid w:val="00B66EAE"/>
    <w:rsid w:val="00B8151F"/>
    <w:rsid w:val="00B82617"/>
    <w:rsid w:val="00B868DF"/>
    <w:rsid w:val="00B90F3D"/>
    <w:rsid w:val="00BA409B"/>
    <w:rsid w:val="00BA4E6D"/>
    <w:rsid w:val="00BA6EB0"/>
    <w:rsid w:val="00BB07E6"/>
    <w:rsid w:val="00BB1EB9"/>
    <w:rsid w:val="00BB4C8F"/>
    <w:rsid w:val="00BB59F4"/>
    <w:rsid w:val="00BB74C8"/>
    <w:rsid w:val="00BC36CD"/>
    <w:rsid w:val="00BD0749"/>
    <w:rsid w:val="00BD362C"/>
    <w:rsid w:val="00BD6AA5"/>
    <w:rsid w:val="00BD7B81"/>
    <w:rsid w:val="00BE6F5A"/>
    <w:rsid w:val="00BF0FBA"/>
    <w:rsid w:val="00BF3741"/>
    <w:rsid w:val="00BF4DDC"/>
    <w:rsid w:val="00C01534"/>
    <w:rsid w:val="00C06F66"/>
    <w:rsid w:val="00C1160E"/>
    <w:rsid w:val="00C12014"/>
    <w:rsid w:val="00C17451"/>
    <w:rsid w:val="00C360C1"/>
    <w:rsid w:val="00C3651E"/>
    <w:rsid w:val="00C36F86"/>
    <w:rsid w:val="00C431CC"/>
    <w:rsid w:val="00C43F60"/>
    <w:rsid w:val="00C46911"/>
    <w:rsid w:val="00C5475E"/>
    <w:rsid w:val="00C5661B"/>
    <w:rsid w:val="00C73B6B"/>
    <w:rsid w:val="00C85ADE"/>
    <w:rsid w:val="00C96F6F"/>
    <w:rsid w:val="00CA2C4C"/>
    <w:rsid w:val="00CA46D7"/>
    <w:rsid w:val="00CA580F"/>
    <w:rsid w:val="00CA5E9A"/>
    <w:rsid w:val="00CB2604"/>
    <w:rsid w:val="00CB5AA0"/>
    <w:rsid w:val="00CD156C"/>
    <w:rsid w:val="00CD4822"/>
    <w:rsid w:val="00CE1E05"/>
    <w:rsid w:val="00CE64BB"/>
    <w:rsid w:val="00CF032E"/>
    <w:rsid w:val="00CF0CB4"/>
    <w:rsid w:val="00D0239B"/>
    <w:rsid w:val="00D142F9"/>
    <w:rsid w:val="00D254A3"/>
    <w:rsid w:val="00D31890"/>
    <w:rsid w:val="00D3195F"/>
    <w:rsid w:val="00D31D51"/>
    <w:rsid w:val="00D36BF1"/>
    <w:rsid w:val="00D46530"/>
    <w:rsid w:val="00D54FF2"/>
    <w:rsid w:val="00D6424A"/>
    <w:rsid w:val="00D647D2"/>
    <w:rsid w:val="00D66C03"/>
    <w:rsid w:val="00D67F24"/>
    <w:rsid w:val="00D717E5"/>
    <w:rsid w:val="00D72775"/>
    <w:rsid w:val="00D72C51"/>
    <w:rsid w:val="00D76566"/>
    <w:rsid w:val="00D81CD1"/>
    <w:rsid w:val="00D861F2"/>
    <w:rsid w:val="00D92648"/>
    <w:rsid w:val="00D9334D"/>
    <w:rsid w:val="00D933BB"/>
    <w:rsid w:val="00D95CF2"/>
    <w:rsid w:val="00D9653D"/>
    <w:rsid w:val="00D972F8"/>
    <w:rsid w:val="00DA3FD3"/>
    <w:rsid w:val="00DA45A6"/>
    <w:rsid w:val="00DA55A1"/>
    <w:rsid w:val="00DA5D60"/>
    <w:rsid w:val="00DB0CDE"/>
    <w:rsid w:val="00DB7034"/>
    <w:rsid w:val="00DC285B"/>
    <w:rsid w:val="00DC3728"/>
    <w:rsid w:val="00DC3A6F"/>
    <w:rsid w:val="00DC5DD1"/>
    <w:rsid w:val="00DD1A55"/>
    <w:rsid w:val="00DD7F32"/>
    <w:rsid w:val="00DE24C4"/>
    <w:rsid w:val="00DE33CE"/>
    <w:rsid w:val="00DE66A3"/>
    <w:rsid w:val="00DF049F"/>
    <w:rsid w:val="00DF1780"/>
    <w:rsid w:val="00DF547E"/>
    <w:rsid w:val="00E049B7"/>
    <w:rsid w:val="00E05B3D"/>
    <w:rsid w:val="00E129CC"/>
    <w:rsid w:val="00E14DD8"/>
    <w:rsid w:val="00E15AFA"/>
    <w:rsid w:val="00E278D3"/>
    <w:rsid w:val="00E3373A"/>
    <w:rsid w:val="00E35493"/>
    <w:rsid w:val="00E44ED2"/>
    <w:rsid w:val="00E50310"/>
    <w:rsid w:val="00E615FD"/>
    <w:rsid w:val="00E616A1"/>
    <w:rsid w:val="00E6371D"/>
    <w:rsid w:val="00E67796"/>
    <w:rsid w:val="00E724CE"/>
    <w:rsid w:val="00E73079"/>
    <w:rsid w:val="00E752A0"/>
    <w:rsid w:val="00E8115C"/>
    <w:rsid w:val="00E81F2A"/>
    <w:rsid w:val="00E85356"/>
    <w:rsid w:val="00E9435D"/>
    <w:rsid w:val="00E944F3"/>
    <w:rsid w:val="00EA45C7"/>
    <w:rsid w:val="00EA7268"/>
    <w:rsid w:val="00EB33F4"/>
    <w:rsid w:val="00ED4AE8"/>
    <w:rsid w:val="00EE0EC8"/>
    <w:rsid w:val="00EE30D7"/>
    <w:rsid w:val="00EE51DD"/>
    <w:rsid w:val="00EE7DAD"/>
    <w:rsid w:val="00EE7F7E"/>
    <w:rsid w:val="00EF2CD8"/>
    <w:rsid w:val="00EF75AF"/>
    <w:rsid w:val="00F00244"/>
    <w:rsid w:val="00F00351"/>
    <w:rsid w:val="00F02B06"/>
    <w:rsid w:val="00F03238"/>
    <w:rsid w:val="00F0335B"/>
    <w:rsid w:val="00F067D0"/>
    <w:rsid w:val="00F13225"/>
    <w:rsid w:val="00F165E6"/>
    <w:rsid w:val="00F16AE1"/>
    <w:rsid w:val="00F23F0A"/>
    <w:rsid w:val="00F31413"/>
    <w:rsid w:val="00F337CB"/>
    <w:rsid w:val="00F373CD"/>
    <w:rsid w:val="00F4128F"/>
    <w:rsid w:val="00F4344E"/>
    <w:rsid w:val="00F4565C"/>
    <w:rsid w:val="00F76C5D"/>
    <w:rsid w:val="00F812B1"/>
    <w:rsid w:val="00F91FFB"/>
    <w:rsid w:val="00F948A0"/>
    <w:rsid w:val="00FB3356"/>
    <w:rsid w:val="00FB78B7"/>
    <w:rsid w:val="00FD04C8"/>
    <w:rsid w:val="00FD1056"/>
    <w:rsid w:val="00FD2865"/>
    <w:rsid w:val="00FD530B"/>
    <w:rsid w:val="00FD5B42"/>
    <w:rsid w:val="00FE0490"/>
    <w:rsid w:val="00FE516D"/>
    <w:rsid w:val="00FE6928"/>
    <w:rsid w:val="00FE7F65"/>
    <w:rsid w:val="00FF08F1"/>
    <w:rsid w:val="00FF7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5B4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FD5B42"/>
    <w:pPr>
      <w:spacing w:after="0" w:line="264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D5B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5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B4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BA4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721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4"/>
  <c:chart>
    <c:plotArea>
      <c:layout>
        <c:manualLayout>
          <c:layoutTarget val="inner"/>
          <c:xMode val="edge"/>
          <c:yMode val="edge"/>
          <c:x val="3.0241826567796157E-2"/>
          <c:y val="1.0683867917058777E-3"/>
          <c:w val="0.96349599503945504"/>
          <c:h val="0.71637952377781045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solidFill>
                <a:srgbClr val="FFC000"/>
              </a:solidFill>
              <a:ln>
                <a:solidFill>
                  <a:srgbClr val="8A0000"/>
                </a:solidFill>
              </a:ln>
            </c:spPr>
          </c:marker>
          <c:dLbls>
            <c:dLbl>
              <c:idx val="0"/>
              <c:layout>
                <c:manualLayout>
                  <c:x val="-4.4789644012945086E-2"/>
                  <c:y val="-9.617353713138798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04A-47BD-A216-B0A282BEAE3F}"/>
                </c:ext>
              </c:extLst>
            </c:dLbl>
            <c:dLbl>
              <c:idx val="1"/>
              <c:layout>
                <c:manualLayout>
                  <c:x val="-4.6947141316073346E-2"/>
                  <c:y val="-8.492141423498533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04A-47BD-A216-B0A282BEAE3F}"/>
                </c:ext>
              </c:extLst>
            </c:dLbl>
            <c:dLbl>
              <c:idx val="2"/>
              <c:layout>
                <c:manualLayout>
                  <c:x val="-4.6947141316073346E-2"/>
                  <c:y val="-9.276455148988740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04A-47BD-A216-B0A282BEAE3F}"/>
                </c:ext>
              </c:extLst>
            </c:dLbl>
            <c:dLbl>
              <c:idx val="3"/>
              <c:layout>
                <c:manualLayout>
                  <c:x val="-4.6947141316073346E-2"/>
                  <c:y val="-7.70782769800834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04A-47BD-A216-B0A282BEAE3F}"/>
                </c:ext>
              </c:extLst>
            </c:dLbl>
            <c:dLbl>
              <c:idx val="4"/>
              <c:layout>
                <c:manualLayout>
                  <c:x val="-4.6947141316073346E-2"/>
                  <c:y val="-6.92351397251815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04A-47BD-A216-B0A282BEAE3F}"/>
                </c:ext>
              </c:extLst>
            </c:dLbl>
            <c:dLbl>
              <c:idx val="5"/>
              <c:layout>
                <c:manualLayout>
                  <c:x val="-4.6947141316073346E-2"/>
                  <c:y val="-7.707827698008343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04A-47BD-A216-B0A282BEAE3F}"/>
                </c:ext>
              </c:extLst>
            </c:dLbl>
            <c:dLbl>
              <c:idx val="6"/>
              <c:layout>
                <c:manualLayout>
                  <c:x val="-4.6947141316073346E-2"/>
                  <c:y val="-7.70782769800834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04A-47BD-A216-B0A282BEAE3F}"/>
                </c:ext>
              </c:extLst>
            </c:dLbl>
            <c:dLbl>
              <c:idx val="7"/>
              <c:layout>
                <c:manualLayout>
                  <c:x val="-4.9104638619201821E-2"/>
                  <c:y val="-7.70782769800834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04A-47BD-A216-B0A282BEAE3F}"/>
                </c:ext>
              </c:extLst>
            </c:dLbl>
            <c:dLbl>
              <c:idx val="8"/>
              <c:layout>
                <c:manualLayout>
                  <c:x val="-4.6947141316073346E-2"/>
                  <c:y val="-7.70782769800834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04A-47BD-A216-B0A282BEAE3F}"/>
                </c:ext>
              </c:extLst>
            </c:dLbl>
            <c:dLbl>
              <c:idx val="9"/>
              <c:layout>
                <c:manualLayout>
                  <c:x val="-4.6947141316073346E-2"/>
                  <c:y val="-7.70782769800834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04A-47BD-A216-B0A282BEAE3F}"/>
                </c:ext>
              </c:extLst>
            </c:dLbl>
            <c:dLbl>
              <c:idx val="10"/>
              <c:layout>
                <c:manualLayout>
                  <c:x val="-4.6947141316073346E-2"/>
                  <c:y val="8.762760537285799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04A-47BD-A216-B0A282BEAE3F}"/>
                </c:ext>
              </c:extLst>
            </c:dLbl>
            <c:dLbl>
              <c:idx val="11"/>
              <c:layout>
                <c:manualLayout>
                  <c:x val="-1.5641855447680729E-2"/>
                  <c:y val="7.194133086305386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04A-47BD-A216-B0A282BEAE3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100.89</c:v>
                </c:pt>
                <c:pt idx="1">
                  <c:v>101.81</c:v>
                </c:pt>
                <c:pt idx="2">
                  <c:v>102.17999999999998</c:v>
                </c:pt>
                <c:pt idx="3">
                  <c:v>102.39</c:v>
                </c:pt>
                <c:pt idx="4">
                  <c:v>102.84</c:v>
                </c:pt>
                <c:pt idx="5">
                  <c:v>102.85</c:v>
                </c:pt>
                <c:pt idx="6">
                  <c:v>103.27</c:v>
                </c:pt>
                <c:pt idx="7">
                  <c:v>102.99000000000002</c:v>
                </c:pt>
                <c:pt idx="8">
                  <c:v>102.86</c:v>
                </c:pt>
                <c:pt idx="9">
                  <c:v>103.01</c:v>
                </c:pt>
                <c:pt idx="10">
                  <c:v>103.29</c:v>
                </c:pt>
                <c:pt idx="11">
                  <c:v>103.83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B04A-47BD-A216-B0A282BEAE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ln>
              <a:solidFill>
                <a:srgbClr val="C00000"/>
              </a:solidFill>
            </a:ln>
          </c:spPr>
          <c:marker>
            <c:symbol val="square"/>
            <c:size val="7"/>
            <c:spPr>
              <a:solidFill>
                <a:srgbClr val="C0504D">
                  <a:lumMod val="60000"/>
                  <a:lumOff val="40000"/>
                </a:srgbClr>
              </a:solidFill>
              <a:ln>
                <a:solidFill>
                  <a:srgbClr val="984807"/>
                </a:solidFill>
              </a:ln>
              <a:scene3d>
                <a:camera prst="orthographicFront"/>
                <a:lightRig rig="threePt" dir="t"/>
              </a:scene3d>
              <a:sp3d prstMaterial="matte"/>
            </c:spPr>
          </c:marker>
          <c:dLbls>
            <c:dLbl>
              <c:idx val="0"/>
              <c:layout>
                <c:manualLayout>
                  <c:x val="-4.0474649406688296E-2"/>
                  <c:y val="7.478956306932231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04A-47BD-A216-B0A282BEAE3F}"/>
                </c:ext>
              </c:extLst>
            </c:dLbl>
            <c:dLbl>
              <c:idx val="1"/>
              <c:layout>
                <c:manualLayout>
                  <c:x val="-5.126213592233015E-2"/>
                  <c:y val="8.492079666512297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04A-47BD-A216-B0A282BEAE3F}"/>
                </c:ext>
              </c:extLst>
            </c:dLbl>
            <c:dLbl>
              <c:idx val="2"/>
              <c:layout>
                <c:manualLayout>
                  <c:x val="-4.4789644012945086E-2"/>
                  <c:y val="9.276455148988740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B04A-47BD-A216-B0A282BEAE3F}"/>
                </c:ext>
              </c:extLst>
            </c:dLbl>
            <c:dLbl>
              <c:idx val="3"/>
              <c:layout>
                <c:manualLayout>
                  <c:x val="-4.91046386192018E-2"/>
                  <c:y val="6.92351397251814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B04A-47BD-A216-B0A282BEAE3F}"/>
                </c:ext>
              </c:extLst>
            </c:dLbl>
            <c:dLbl>
              <c:idx val="4"/>
              <c:layout>
                <c:manualLayout>
                  <c:x val="-4.4789644012945051E-2"/>
                  <c:y val="6.92351397251814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B04A-47BD-A216-B0A282BEAE3F}"/>
                </c:ext>
              </c:extLst>
            </c:dLbl>
            <c:dLbl>
              <c:idx val="5"/>
              <c:layout>
                <c:manualLayout>
                  <c:x val="-4.6947141316073346E-2"/>
                  <c:y val="6.92351397251814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04A-47BD-A216-B0A282BEAE3F}"/>
                </c:ext>
              </c:extLst>
            </c:dLbl>
            <c:dLbl>
              <c:idx val="6"/>
              <c:layout>
                <c:manualLayout>
                  <c:x val="-4.4789644012945051E-2"/>
                  <c:y val="7.707827698008343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04A-47BD-A216-B0A282BEAE3F}"/>
                </c:ext>
              </c:extLst>
            </c:dLbl>
            <c:dLbl>
              <c:idx val="7"/>
              <c:layout>
                <c:manualLayout>
                  <c:x val="-4.4789644012945051E-2"/>
                  <c:y val="6.92351397251814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04A-47BD-A216-B0A282BEAE3F}"/>
                </c:ext>
              </c:extLst>
            </c:dLbl>
            <c:dLbl>
              <c:idx val="8"/>
              <c:layout>
                <c:manualLayout>
                  <c:x val="-4.4789644012945051E-2"/>
                  <c:y val="6.92351397251814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04A-47BD-A216-B0A282BEAE3F}"/>
                </c:ext>
              </c:extLst>
            </c:dLbl>
            <c:dLbl>
              <c:idx val="9"/>
              <c:layout>
                <c:manualLayout>
                  <c:x val="-4.4789644012945051E-2"/>
                  <c:y val="8.492141423498533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04A-47BD-A216-B0A282BEAE3F}"/>
                </c:ext>
              </c:extLst>
            </c:dLbl>
            <c:dLbl>
              <c:idx val="10"/>
              <c:layout>
                <c:manualLayout>
                  <c:x val="-4.6947141316073346E-2"/>
                  <c:y val="-9.559302146055277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04A-47BD-A216-B0A282BEAE3F}"/>
                </c:ext>
              </c:extLst>
            </c:dLbl>
            <c:dLbl>
              <c:idx val="11"/>
              <c:layout>
                <c:manualLayout>
                  <c:x val="-1.5641855447680729E-2"/>
                  <c:y val="-7.8431372549019662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04A-47BD-A216-B0A282BEAE3F}"/>
                </c:ext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0">
                    <a:solidFill>
                      <a:sysClr val="windowText" lastClr="000000"/>
                    </a:solidFill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100.24000000000002</c:v>
                </c:pt>
                <c:pt idx="1">
                  <c:v>100.86999999999999</c:v>
                </c:pt>
                <c:pt idx="2">
                  <c:v>101.11</c:v>
                </c:pt>
                <c:pt idx="3" formatCode="#,##0.####">
                  <c:v>101.75</c:v>
                </c:pt>
                <c:pt idx="4" formatCode="#,##0.####">
                  <c:v>101.86999999999999</c:v>
                </c:pt>
                <c:pt idx="5" formatCode="#,##0.####">
                  <c:v>101.96000000000002</c:v>
                </c:pt>
                <c:pt idx="6" formatCode="#,##0.####">
                  <c:v>102.44000000000007</c:v>
                </c:pt>
                <c:pt idx="7" formatCode="#,##0.####">
                  <c:v>102.24000000000002</c:v>
                </c:pt>
                <c:pt idx="8" formatCode="#,##0.####">
                  <c:v>102.34</c:v>
                </c:pt>
                <c:pt idx="9" formatCode="#,##0.####">
                  <c:v>102.73</c:v>
                </c:pt>
                <c:pt idx="10" formatCode="#,##0.####">
                  <c:v>103.77</c:v>
                </c:pt>
                <c:pt idx="11" formatCode="#,##0.####">
                  <c:v>104.69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9-B04A-47BD-A216-B0A282BEAE3F}"/>
            </c:ext>
          </c:extLst>
        </c:ser>
        <c:dLbls>
          <c:showVal val="1"/>
        </c:dLbls>
        <c:marker val="1"/>
        <c:axId val="63447424"/>
        <c:axId val="63449728"/>
      </c:lineChart>
      <c:catAx>
        <c:axId val="63447424"/>
        <c:scaling>
          <c:orientation val="minMax"/>
        </c:scaling>
        <c:axPos val="b"/>
        <c:numFmt formatCode="General" sourceLinked="1"/>
        <c:majorTickMark val="cross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63449728"/>
        <c:crossesAt val="99"/>
        <c:auto val="1"/>
        <c:lblAlgn val="ctr"/>
        <c:lblOffset val="100"/>
      </c:catAx>
      <c:valAx>
        <c:axId val="63449728"/>
        <c:scaling>
          <c:orientation val="minMax"/>
          <c:max val="106"/>
          <c:min val="99"/>
        </c:scaling>
        <c:axPos val="l"/>
        <c:numFmt formatCode="General" sourceLinked="1"/>
        <c:tickLblPos val="none"/>
        <c:spPr>
          <a:ln>
            <a:noFill/>
          </a:ln>
        </c:spPr>
        <c:crossAx val="63447424"/>
        <c:crosses val="autoZero"/>
        <c:crossBetween val="between"/>
        <c:majorUnit val="1"/>
      </c:valAx>
      <c:spPr>
        <a:noFill/>
      </c:spPr>
    </c:plotArea>
    <c:legend>
      <c:legendPos val="b"/>
      <c:layout>
        <c:manualLayout>
          <c:xMode val="edge"/>
          <c:yMode val="edge"/>
          <c:x val="0.32942580007577715"/>
          <c:y val="0.91233142620516505"/>
          <c:w val="0.31815200587163034"/>
          <c:h val="8.2955517657032227E-2"/>
        </c:manualLayout>
      </c:layout>
      <c:txPr>
        <a:bodyPr/>
        <a:lstStyle/>
        <a:p>
          <a:pPr>
            <a:defRPr sz="9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800"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267CEB-7CFB-430B-AA9F-DA1ED0A6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P24_kazakovaev</dc:creator>
  <cp:keywords/>
  <dc:description/>
  <cp:lastModifiedBy>123</cp:lastModifiedBy>
  <cp:revision>35</cp:revision>
  <cp:lastPrinted>2021-01-19T04:43:00Z</cp:lastPrinted>
  <dcterms:created xsi:type="dcterms:W3CDTF">2019-07-16T10:12:00Z</dcterms:created>
  <dcterms:modified xsi:type="dcterms:W3CDTF">2021-01-21T04:10:00Z</dcterms:modified>
</cp:coreProperties>
</file>